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58153689"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027C05">
        <w:rPr>
          <w:rFonts w:ascii="Arial" w:eastAsia="MS Mincho" w:hAnsi="Arial"/>
          <w:b/>
          <w:bCs/>
          <w:sz w:val="24"/>
          <w:szCs w:val="24"/>
          <w:lang w:eastAsia="x-none"/>
        </w:rPr>
        <w:t>3</w:t>
      </w:r>
      <w:r w:rsidR="00D3707F">
        <w:rPr>
          <w:rFonts w:ascii="Arial" w:eastAsia="MS Mincho" w:hAnsi="Arial"/>
          <w:b/>
          <w:bCs/>
          <w:sz w:val="24"/>
          <w:szCs w:val="24"/>
          <w:lang w:eastAsia="x-none"/>
        </w:rPr>
        <w:t>bis</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6446D2">
        <w:rPr>
          <w:rFonts w:ascii="Arial" w:eastAsia="MS Mincho" w:hAnsi="Arial"/>
          <w:b/>
          <w:bCs/>
          <w:sz w:val="24"/>
          <w:szCs w:val="24"/>
          <w:lang w:eastAsia="x-none"/>
        </w:rPr>
        <w:t>10</w:t>
      </w:r>
      <w:r w:rsidR="000E6944">
        <w:rPr>
          <w:rFonts w:ascii="Arial" w:eastAsia="MS Mincho" w:hAnsi="Arial"/>
          <w:b/>
          <w:bCs/>
          <w:sz w:val="24"/>
          <w:szCs w:val="24"/>
          <w:lang w:eastAsia="x-none"/>
        </w:rPr>
        <w:t>2835</w:t>
      </w:r>
    </w:p>
    <w:p w14:paraId="3966F1BF" w14:textId="6DAD8D80"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D206B2">
        <w:rPr>
          <w:rFonts w:eastAsia="MS Mincho"/>
          <w:szCs w:val="24"/>
          <w:lang w:eastAsia="x-none"/>
        </w:rPr>
        <w:t>12</w:t>
      </w:r>
      <w:r w:rsidR="006446D2" w:rsidRPr="006446D2">
        <w:rPr>
          <w:rFonts w:eastAsia="MS Mincho"/>
          <w:szCs w:val="24"/>
          <w:vertAlign w:val="superscript"/>
          <w:lang w:eastAsia="x-none"/>
        </w:rPr>
        <w:t>th</w:t>
      </w:r>
      <w:r w:rsidR="006446D2">
        <w:rPr>
          <w:rFonts w:eastAsia="MS Mincho"/>
          <w:szCs w:val="24"/>
          <w:lang w:eastAsia="x-none"/>
        </w:rPr>
        <w:t xml:space="preserve"> </w:t>
      </w:r>
      <w:r w:rsidR="00027C05">
        <w:rPr>
          <w:rFonts w:eastAsia="MS Mincho"/>
          <w:szCs w:val="24"/>
          <w:lang w:eastAsia="x-none"/>
        </w:rPr>
        <w:t xml:space="preserve">– </w:t>
      </w:r>
      <w:r w:rsidR="00D206B2">
        <w:rPr>
          <w:rFonts w:eastAsia="MS Mincho"/>
          <w:szCs w:val="24"/>
          <w:lang w:eastAsia="x-none"/>
        </w:rPr>
        <w:t>20</w:t>
      </w:r>
      <w:r w:rsidR="006446D2" w:rsidRPr="006446D2">
        <w:rPr>
          <w:rFonts w:eastAsia="MS Mincho"/>
          <w:szCs w:val="24"/>
          <w:vertAlign w:val="superscript"/>
          <w:lang w:eastAsia="x-none"/>
        </w:rPr>
        <w:t>th</w:t>
      </w:r>
      <w:r w:rsidR="006446D2">
        <w:rPr>
          <w:rFonts w:eastAsia="MS Mincho"/>
          <w:szCs w:val="24"/>
          <w:lang w:eastAsia="x-none"/>
        </w:rPr>
        <w:t xml:space="preserve"> </w:t>
      </w:r>
      <w:r w:rsidR="00D206B2">
        <w:rPr>
          <w:rFonts w:eastAsia="MS Mincho"/>
          <w:szCs w:val="24"/>
          <w:lang w:eastAsia="x-none"/>
        </w:rPr>
        <w:t>Apr</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63093A9E" w:rsidR="004E0304" w:rsidRPr="00CE0424" w:rsidRDefault="004E0304" w:rsidP="004E0304">
      <w:pPr>
        <w:pStyle w:val="3GPPHeader"/>
        <w:rPr>
          <w:sz w:val="22"/>
          <w:szCs w:val="22"/>
        </w:rPr>
      </w:pPr>
      <w:r>
        <w:rPr>
          <w:sz w:val="22"/>
          <w:szCs w:val="22"/>
        </w:rPr>
        <w:t>Title:</w:t>
      </w:r>
      <w:r>
        <w:rPr>
          <w:sz w:val="22"/>
          <w:szCs w:val="22"/>
        </w:rPr>
        <w:tab/>
      </w:r>
      <w:r w:rsidR="005A5F44">
        <w:rPr>
          <w:sz w:val="22"/>
          <w:szCs w:val="22"/>
        </w:rPr>
        <w:t>Inter-donor topology adaptation and topology redundancy</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03D5B782" w14:textId="660D7F45" w:rsidR="00B87ADF" w:rsidRDefault="00D57F47" w:rsidP="00B87ADF">
      <w:r>
        <w:t xml:space="preserve">RAN2 has received a liaison </w:t>
      </w:r>
      <w:r w:rsidR="00A51EA9">
        <w:t>R3-21133</w:t>
      </w:r>
      <w:r w:rsidR="001434A2">
        <w:t xml:space="preserve">1 </w:t>
      </w:r>
      <w:r w:rsidR="001434A2">
        <w:fldChar w:fldCharType="begin"/>
      </w:r>
      <w:r w:rsidR="001434A2">
        <w:instrText xml:space="preserve"> REF _Ref68174370 \w \h </w:instrText>
      </w:r>
      <w:r w:rsidR="001434A2">
        <w:fldChar w:fldCharType="separate"/>
      </w:r>
      <w:r w:rsidR="001434A2">
        <w:t>[1]</w:t>
      </w:r>
      <w:r w:rsidR="001434A2">
        <w:fldChar w:fldCharType="end"/>
      </w:r>
      <w:r w:rsidR="001434A2">
        <w:t xml:space="preserve"> </w:t>
      </w:r>
      <w:r>
        <w:t>from RAN3</w:t>
      </w:r>
      <w:r w:rsidR="00A51EA9">
        <w:t xml:space="preserve"> on inter-donor topology redundancy</w:t>
      </w:r>
      <w:r w:rsidR="006B42A5">
        <w:t xml:space="preserve">. </w:t>
      </w:r>
      <w:r w:rsidR="00BB1B26">
        <w:t xml:space="preserve">F1 termination points, load balancing and BAP routing issues are discussed in RAN3. </w:t>
      </w:r>
      <w:r w:rsidR="004C18A7">
        <w:t xml:space="preserve">During RAN2 #113e meeting, RAN2 also achieved several agreements on local rerouting, RLF indication enhancement for intra-donor topology adaptation. </w:t>
      </w:r>
      <w:r w:rsidR="00812E16">
        <w:t xml:space="preserve">In this contribution, we will discuss </w:t>
      </w:r>
      <w:r w:rsidR="00037970">
        <w:t>whether</w:t>
      </w:r>
      <w:r w:rsidR="001F7566">
        <w:t xml:space="preserve"> and how</w:t>
      </w:r>
      <w:r w:rsidR="00812E16">
        <w:t xml:space="preserve"> those agreements in RAN2 </w:t>
      </w:r>
      <w:r w:rsidR="0073111E">
        <w:t>on local rerouting and RLF indication enhancement</w:t>
      </w:r>
      <w:r w:rsidR="00037970">
        <w:t xml:space="preserve"> </w:t>
      </w:r>
      <w:r w:rsidR="00D66B2F">
        <w:t>to</w:t>
      </w:r>
      <w:r w:rsidR="00037970">
        <w:t xml:space="preserve"> be supported for inter</w:t>
      </w:r>
      <w:r w:rsidR="001F7566">
        <w:t>-donor</w:t>
      </w:r>
      <w:r w:rsidR="00812E16">
        <w:t xml:space="preserve"> topology redundancy scenarios raised in RAN3</w:t>
      </w:r>
      <w:r w:rsidR="0073111E">
        <w:t xml:space="preserve">. </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38858AA3" w14:textId="5BEF6BA4" w:rsidR="005D0081" w:rsidRDefault="005D0081" w:rsidP="004E0304">
      <w:pPr>
        <w:pStyle w:val="Heading2"/>
        <w:rPr>
          <w:lang w:val="en-US" w:eastAsia="zh-CN"/>
        </w:rPr>
      </w:pPr>
      <w:r>
        <w:rPr>
          <w:lang w:val="en-US" w:eastAsia="zh-CN"/>
        </w:rPr>
        <w:t>Single</w:t>
      </w:r>
      <w:r w:rsidR="00597680">
        <w:rPr>
          <w:lang w:val="en-US" w:eastAsia="zh-CN"/>
        </w:rPr>
        <w:t>-</w:t>
      </w:r>
      <w:r>
        <w:rPr>
          <w:lang w:val="en-US" w:eastAsia="zh-CN"/>
        </w:rPr>
        <w:t xml:space="preserve">connected </w:t>
      </w:r>
      <w:r w:rsidR="00597680">
        <w:rPr>
          <w:lang w:val="en-US" w:eastAsia="zh-CN"/>
        </w:rPr>
        <w:t xml:space="preserve">IAB node </w:t>
      </w:r>
      <w:r>
        <w:rPr>
          <w:lang w:val="en-US" w:eastAsia="zh-CN"/>
        </w:rPr>
        <w:t>inter-donor migration</w:t>
      </w:r>
    </w:p>
    <w:p w14:paraId="7DC9DA7F" w14:textId="48E410EB" w:rsidR="0069006E" w:rsidRDefault="00912B9E" w:rsidP="0069006E">
      <w:pPr>
        <w:rPr>
          <w:lang w:eastAsia="zh-CN"/>
        </w:rPr>
      </w:pPr>
      <w:r>
        <w:rPr>
          <w:lang w:eastAsia="zh-CN"/>
        </w:rPr>
        <w:t xml:space="preserve">The use cases for inter-donor </w:t>
      </w:r>
      <w:r w:rsidR="00351105">
        <w:rPr>
          <w:lang w:eastAsia="zh-CN"/>
        </w:rPr>
        <w:t>migration are studied in RAN3 with following cases agreed:</w:t>
      </w:r>
    </w:p>
    <w:p w14:paraId="4EA2B041" w14:textId="070AFACE" w:rsidR="00D56EFB" w:rsidRDefault="00D56EFB" w:rsidP="00D56EFB">
      <w:pPr>
        <w:ind w:left="720"/>
        <w:rPr>
          <w:lang w:eastAsia="zh-CN"/>
        </w:rPr>
      </w:pPr>
      <w:r>
        <w:rPr>
          <w:lang w:eastAsia="zh-CN"/>
        </w:rPr>
        <w:t>a) IAB-MT is migrated between IAB-</w:t>
      </w:r>
      <w:proofErr w:type="gramStart"/>
      <w:r>
        <w:rPr>
          <w:lang w:eastAsia="zh-CN"/>
        </w:rPr>
        <w:t>donors</w:t>
      </w:r>
      <w:r w:rsidR="0073351B">
        <w:rPr>
          <w:lang w:eastAsia="zh-CN"/>
        </w:rPr>
        <w:t>;</w:t>
      </w:r>
      <w:proofErr w:type="gramEnd"/>
    </w:p>
    <w:p w14:paraId="5250946A" w14:textId="1AE887E7" w:rsidR="00D56EFB" w:rsidRDefault="00D56EFB" w:rsidP="00D56EFB">
      <w:pPr>
        <w:ind w:left="720"/>
        <w:rPr>
          <w:lang w:eastAsia="zh-CN"/>
        </w:rPr>
      </w:pPr>
      <w:r>
        <w:rPr>
          <w:lang w:eastAsia="zh-CN"/>
        </w:rPr>
        <w:t>b) IAB-MT is simultaneously connected to two IAB-</w:t>
      </w:r>
      <w:proofErr w:type="gramStart"/>
      <w:r>
        <w:rPr>
          <w:lang w:eastAsia="zh-CN"/>
        </w:rPr>
        <w:t>donors</w:t>
      </w:r>
      <w:r w:rsidR="0073351B">
        <w:rPr>
          <w:lang w:eastAsia="zh-CN"/>
        </w:rPr>
        <w:t>;</w:t>
      </w:r>
      <w:proofErr w:type="gramEnd"/>
    </w:p>
    <w:p w14:paraId="785A8870" w14:textId="3B969540" w:rsidR="00D56EFB" w:rsidRDefault="00D56EFB" w:rsidP="00D56EFB">
      <w:pPr>
        <w:ind w:left="720"/>
        <w:rPr>
          <w:lang w:eastAsia="zh-CN"/>
        </w:rPr>
      </w:pPr>
      <w:r>
        <w:rPr>
          <w:lang w:eastAsia="zh-CN"/>
        </w:rPr>
        <w:t>c) IAB-DU is simultaneously connected to 2 donor-CUs (common understanding is that we won’t break F1 interface principles</w:t>
      </w:r>
      <w:proofErr w:type="gramStart"/>
      <w:r>
        <w:rPr>
          <w:lang w:eastAsia="zh-CN"/>
        </w:rPr>
        <w:t>)</w:t>
      </w:r>
      <w:r w:rsidR="0073351B">
        <w:rPr>
          <w:lang w:eastAsia="zh-CN"/>
        </w:rPr>
        <w:t>;</w:t>
      </w:r>
      <w:proofErr w:type="gramEnd"/>
    </w:p>
    <w:p w14:paraId="7069E04F" w14:textId="744CA659" w:rsidR="00351105" w:rsidRDefault="00D56EFB" w:rsidP="00D56EFB">
      <w:pPr>
        <w:ind w:left="720"/>
        <w:rPr>
          <w:lang w:eastAsia="zh-CN"/>
        </w:rPr>
      </w:pPr>
      <w:r>
        <w:rPr>
          <w:lang w:eastAsia="zh-CN"/>
        </w:rPr>
        <w:t>d) IAB-MT performs RLF recovery at new IAB-donor</w:t>
      </w:r>
      <w:r w:rsidR="0073351B">
        <w:rPr>
          <w:lang w:eastAsia="zh-CN"/>
        </w:rPr>
        <w:t>.</w:t>
      </w:r>
    </w:p>
    <w:p w14:paraId="3DC9DAFB" w14:textId="0EC3A5E2" w:rsidR="00D56EFB" w:rsidRDefault="00320C81" w:rsidP="00D56EFB">
      <w:pPr>
        <w:rPr>
          <w:lang w:eastAsia="zh-CN"/>
        </w:rPr>
      </w:pPr>
      <w:r>
        <w:rPr>
          <w:lang w:eastAsia="zh-CN"/>
        </w:rPr>
        <w:t xml:space="preserve">For single-connected IAB node, </w:t>
      </w:r>
      <w:r w:rsidR="005D1666">
        <w:rPr>
          <w:lang w:eastAsia="zh-CN"/>
        </w:rPr>
        <w:t xml:space="preserve">during its migration, </w:t>
      </w:r>
      <w:r w:rsidR="00DB54E1">
        <w:rPr>
          <w:lang w:eastAsia="zh-CN"/>
        </w:rPr>
        <w:t xml:space="preserve">all its descendant IAB nodes and UEs need to reestablish </w:t>
      </w:r>
      <w:r w:rsidR="009F4432">
        <w:rPr>
          <w:lang w:eastAsia="zh-CN"/>
        </w:rPr>
        <w:t xml:space="preserve">their </w:t>
      </w:r>
      <w:r w:rsidR="00DB54E1">
        <w:rPr>
          <w:lang w:eastAsia="zh-CN"/>
        </w:rPr>
        <w:t>RRC connection</w:t>
      </w:r>
      <w:r w:rsidR="009F4432">
        <w:rPr>
          <w:lang w:eastAsia="zh-CN"/>
        </w:rPr>
        <w:t>s</w:t>
      </w:r>
      <w:r w:rsidR="00DB54E1">
        <w:rPr>
          <w:lang w:eastAsia="zh-CN"/>
        </w:rPr>
        <w:t xml:space="preserve"> with the new IAB</w:t>
      </w:r>
      <w:r w:rsidR="005A5FD0">
        <w:rPr>
          <w:lang w:eastAsia="zh-CN"/>
        </w:rPr>
        <w:t>-</w:t>
      </w:r>
      <w:r w:rsidR="00DB54E1">
        <w:rPr>
          <w:lang w:eastAsia="zh-CN"/>
        </w:rPr>
        <w:t>donor</w:t>
      </w:r>
      <w:r w:rsidR="005A5FD0">
        <w:rPr>
          <w:lang w:eastAsia="zh-CN"/>
        </w:rPr>
        <w:t>-</w:t>
      </w:r>
      <w:r w:rsidR="00DB54E1">
        <w:rPr>
          <w:lang w:eastAsia="zh-CN"/>
        </w:rPr>
        <w:t>CU.</w:t>
      </w:r>
      <w:r w:rsidR="009F4432">
        <w:rPr>
          <w:lang w:eastAsia="zh-CN"/>
        </w:rPr>
        <w:t xml:space="preserve"> It is a huge signaling overhead</w:t>
      </w:r>
      <w:r w:rsidR="00753532">
        <w:rPr>
          <w:lang w:eastAsia="zh-CN"/>
        </w:rPr>
        <w:t xml:space="preserve"> </w:t>
      </w:r>
      <w:r w:rsidR="00AE44AC">
        <w:rPr>
          <w:lang w:eastAsia="zh-CN"/>
        </w:rPr>
        <w:t>considering massive UEs</w:t>
      </w:r>
      <w:r w:rsidR="00E22C9C">
        <w:rPr>
          <w:lang w:eastAsia="zh-CN"/>
        </w:rPr>
        <w:t>’ context need to be transit to the new IAB</w:t>
      </w:r>
      <w:r w:rsidR="005A5FD0">
        <w:rPr>
          <w:lang w:eastAsia="zh-CN"/>
        </w:rPr>
        <w:t>-</w:t>
      </w:r>
      <w:r w:rsidR="00E22C9C">
        <w:rPr>
          <w:lang w:eastAsia="zh-CN"/>
        </w:rPr>
        <w:t>donor</w:t>
      </w:r>
      <w:r w:rsidR="005A5FD0">
        <w:rPr>
          <w:lang w:eastAsia="zh-CN"/>
        </w:rPr>
        <w:t>-</w:t>
      </w:r>
      <w:r w:rsidR="00E22C9C">
        <w:rPr>
          <w:lang w:eastAsia="zh-CN"/>
        </w:rPr>
        <w:t>CU. It also</w:t>
      </w:r>
      <w:r w:rsidR="000321BD">
        <w:rPr>
          <w:lang w:eastAsia="zh-CN"/>
        </w:rPr>
        <w:t xml:space="preserve"> require</w:t>
      </w:r>
      <w:r w:rsidR="00E22C9C">
        <w:rPr>
          <w:lang w:eastAsia="zh-CN"/>
        </w:rPr>
        <w:t>s</w:t>
      </w:r>
      <w:r w:rsidR="000321BD">
        <w:rPr>
          <w:lang w:eastAsia="zh-CN"/>
        </w:rPr>
        <w:t xml:space="preserve"> </w:t>
      </w:r>
      <w:r w:rsidR="00273C81">
        <w:rPr>
          <w:lang w:eastAsia="zh-CN"/>
        </w:rPr>
        <w:t>the new IAB</w:t>
      </w:r>
      <w:r w:rsidR="005A5FD0">
        <w:rPr>
          <w:lang w:eastAsia="zh-CN"/>
        </w:rPr>
        <w:t>-</w:t>
      </w:r>
      <w:r w:rsidR="00273C81">
        <w:rPr>
          <w:lang w:eastAsia="zh-CN"/>
        </w:rPr>
        <w:t>donor</w:t>
      </w:r>
      <w:r w:rsidR="005A5FD0">
        <w:rPr>
          <w:lang w:eastAsia="zh-CN"/>
        </w:rPr>
        <w:t>-</w:t>
      </w:r>
      <w:r w:rsidR="00273C81">
        <w:rPr>
          <w:lang w:eastAsia="zh-CN"/>
        </w:rPr>
        <w:t xml:space="preserve">CU has the capability to handle </w:t>
      </w:r>
      <w:r w:rsidR="00057C37">
        <w:rPr>
          <w:lang w:eastAsia="zh-CN"/>
        </w:rPr>
        <w:t>the GBR and other requirements for the migrating IAB node</w:t>
      </w:r>
      <w:r w:rsidR="006E5918">
        <w:rPr>
          <w:lang w:eastAsia="zh-CN"/>
        </w:rPr>
        <w:t>s’</w:t>
      </w:r>
      <w:r w:rsidR="00057C37">
        <w:rPr>
          <w:lang w:eastAsia="zh-CN"/>
        </w:rPr>
        <w:t xml:space="preserve"> </w:t>
      </w:r>
      <w:r w:rsidR="00273C81">
        <w:rPr>
          <w:lang w:eastAsia="zh-CN"/>
        </w:rPr>
        <w:t>traffic</w:t>
      </w:r>
      <w:r w:rsidR="006E5918">
        <w:rPr>
          <w:lang w:eastAsia="zh-CN"/>
        </w:rPr>
        <w:t xml:space="preserve">. </w:t>
      </w:r>
      <w:r w:rsidR="008E7F4D">
        <w:rPr>
          <w:lang w:eastAsia="zh-CN"/>
        </w:rPr>
        <w:t xml:space="preserve">Hence, </w:t>
      </w:r>
      <w:r w:rsidR="00CC5B2B">
        <w:rPr>
          <w:lang w:eastAsia="zh-CN"/>
        </w:rPr>
        <w:t xml:space="preserve">as discussed in the companion contribution </w:t>
      </w:r>
      <w:r w:rsidR="00CC5B2B">
        <w:rPr>
          <w:lang w:eastAsia="zh-CN"/>
        </w:rPr>
        <w:fldChar w:fldCharType="begin"/>
      </w:r>
      <w:r w:rsidR="00CC5B2B">
        <w:rPr>
          <w:lang w:eastAsia="zh-CN"/>
        </w:rPr>
        <w:instrText xml:space="preserve"> REF _Ref68174539 \w \h </w:instrText>
      </w:r>
      <w:r w:rsidR="00CC5B2B">
        <w:rPr>
          <w:lang w:eastAsia="zh-CN"/>
        </w:rPr>
      </w:r>
      <w:r w:rsidR="00CC5B2B">
        <w:rPr>
          <w:lang w:eastAsia="zh-CN"/>
        </w:rPr>
        <w:fldChar w:fldCharType="separate"/>
      </w:r>
      <w:r w:rsidR="00CC5B2B">
        <w:rPr>
          <w:lang w:eastAsia="zh-CN"/>
        </w:rPr>
        <w:t>[2]</w:t>
      </w:r>
      <w:r w:rsidR="00CC5B2B">
        <w:rPr>
          <w:lang w:eastAsia="zh-CN"/>
        </w:rPr>
        <w:fldChar w:fldCharType="end"/>
      </w:r>
      <w:r w:rsidR="00CC5B2B">
        <w:rPr>
          <w:lang w:eastAsia="zh-CN"/>
        </w:rPr>
        <w:t xml:space="preserve">, </w:t>
      </w:r>
      <w:r w:rsidR="008E7F4D">
        <w:rPr>
          <w:lang w:eastAsia="zh-CN"/>
        </w:rPr>
        <w:t xml:space="preserve">for single-connected IAB node, </w:t>
      </w:r>
      <w:r w:rsidR="00541577">
        <w:rPr>
          <w:lang w:eastAsia="zh-CN"/>
        </w:rPr>
        <w:t>inter-donor migration should not be triggered by load balancing between source and target IAB</w:t>
      </w:r>
      <w:r w:rsidR="005A5FD0">
        <w:rPr>
          <w:lang w:eastAsia="zh-CN"/>
        </w:rPr>
        <w:t>-</w:t>
      </w:r>
      <w:r w:rsidR="00541577">
        <w:rPr>
          <w:lang w:eastAsia="zh-CN"/>
        </w:rPr>
        <w:t>donor</w:t>
      </w:r>
      <w:r w:rsidR="005A5FD0">
        <w:rPr>
          <w:lang w:eastAsia="zh-CN"/>
        </w:rPr>
        <w:t>-</w:t>
      </w:r>
      <w:r w:rsidR="00541577">
        <w:rPr>
          <w:lang w:eastAsia="zh-CN"/>
        </w:rPr>
        <w:t>CU.</w:t>
      </w:r>
    </w:p>
    <w:p w14:paraId="231DAAE8" w14:textId="67321968" w:rsidR="003874D5" w:rsidRDefault="003874D5" w:rsidP="00D56EFB">
      <w:pPr>
        <w:rPr>
          <w:lang w:eastAsia="zh-CN"/>
        </w:rPr>
      </w:pPr>
      <w:r>
        <w:rPr>
          <w:lang w:eastAsia="zh-CN"/>
        </w:rPr>
        <w:t xml:space="preserve">To </w:t>
      </w:r>
      <w:r w:rsidR="00163F0B">
        <w:rPr>
          <w:lang w:eastAsia="zh-CN"/>
        </w:rPr>
        <w:t xml:space="preserve">maintain the stability of IAB network as well as reduce complexity and signaling overhead, </w:t>
      </w:r>
      <w:r w:rsidR="00597680">
        <w:rPr>
          <w:lang w:eastAsia="zh-CN"/>
        </w:rPr>
        <w:t xml:space="preserve">for single-connected IAB node, </w:t>
      </w:r>
      <w:r w:rsidR="00AA24ED">
        <w:rPr>
          <w:lang w:eastAsia="zh-CN"/>
        </w:rPr>
        <w:t xml:space="preserve">the inter-donor migration only takes place when the IAB node is </w:t>
      </w:r>
      <w:r w:rsidR="00653013">
        <w:rPr>
          <w:lang w:eastAsia="zh-CN"/>
        </w:rPr>
        <w:t>experiencing RLF and trying to recover.</w:t>
      </w:r>
      <w:r w:rsidR="003B2098">
        <w:rPr>
          <w:lang w:eastAsia="zh-CN"/>
        </w:rPr>
        <w:t xml:space="preserve"> </w:t>
      </w:r>
      <w:r w:rsidR="00B30FB7">
        <w:rPr>
          <w:lang w:eastAsia="zh-CN"/>
        </w:rPr>
        <w:t>Rel-16 DAPS is proposed to reduce service interruption caused by UE mobility, which requires both source link and target link are availabl</w:t>
      </w:r>
      <w:r w:rsidR="003A2017">
        <w:rPr>
          <w:lang w:eastAsia="zh-CN"/>
        </w:rPr>
        <w:t>e, so that one UE can establish</w:t>
      </w:r>
      <w:r w:rsidR="00987456">
        <w:rPr>
          <w:lang w:eastAsia="zh-CN"/>
        </w:rPr>
        <w:t xml:space="preserve"> dual protocol stacks </w:t>
      </w:r>
      <w:r w:rsidR="003A2017">
        <w:rPr>
          <w:lang w:eastAsia="zh-CN"/>
        </w:rPr>
        <w:t xml:space="preserve">and </w:t>
      </w:r>
      <w:r w:rsidR="0068197A">
        <w:rPr>
          <w:lang w:eastAsia="zh-CN"/>
        </w:rPr>
        <w:t>simultaneously connect</w:t>
      </w:r>
      <w:r w:rsidR="003A2017">
        <w:rPr>
          <w:lang w:eastAsia="zh-CN"/>
        </w:rPr>
        <w:t>s</w:t>
      </w:r>
      <w:r w:rsidR="0068197A">
        <w:rPr>
          <w:lang w:eastAsia="zh-CN"/>
        </w:rPr>
        <w:t xml:space="preserve"> </w:t>
      </w:r>
      <w:r w:rsidR="006B1208">
        <w:rPr>
          <w:lang w:eastAsia="zh-CN"/>
        </w:rPr>
        <w:t>to</w:t>
      </w:r>
      <w:r w:rsidR="0068197A">
        <w:rPr>
          <w:lang w:eastAsia="zh-CN"/>
        </w:rPr>
        <w:t xml:space="preserve"> both source and target </w:t>
      </w:r>
      <w:proofErr w:type="spellStart"/>
      <w:r w:rsidR="0068197A">
        <w:rPr>
          <w:lang w:eastAsia="zh-CN"/>
        </w:rPr>
        <w:t>gNB</w:t>
      </w:r>
      <w:proofErr w:type="spellEnd"/>
      <w:r w:rsidR="0068197A">
        <w:rPr>
          <w:lang w:eastAsia="zh-CN"/>
        </w:rPr>
        <w:t xml:space="preserve">. </w:t>
      </w:r>
      <w:r w:rsidR="00F54062">
        <w:rPr>
          <w:lang w:eastAsia="zh-CN"/>
        </w:rPr>
        <w:t xml:space="preserve">Since the source link </w:t>
      </w:r>
      <w:r w:rsidR="004A3770">
        <w:rPr>
          <w:lang w:eastAsia="zh-CN"/>
        </w:rPr>
        <w:t xml:space="preserve">of the migrating single-connected IAB node </w:t>
      </w:r>
      <w:r w:rsidR="00F54062">
        <w:rPr>
          <w:lang w:eastAsia="zh-CN"/>
        </w:rPr>
        <w:t>is outage due to RLF,</w:t>
      </w:r>
      <w:r w:rsidR="006B5ADB">
        <w:rPr>
          <w:lang w:eastAsia="zh-CN"/>
        </w:rPr>
        <w:t xml:space="preserve"> the intention of Rel-16 DAPS is not suitable for </w:t>
      </w:r>
      <w:r w:rsidR="00774F2F">
        <w:rPr>
          <w:lang w:eastAsia="zh-CN"/>
        </w:rPr>
        <w:t>inter-donor migration enhancement.</w:t>
      </w:r>
    </w:p>
    <w:p w14:paraId="01835F67" w14:textId="77777777" w:rsidR="0067566A" w:rsidRPr="00123CEF" w:rsidRDefault="006B1208" w:rsidP="00D56EFB">
      <w:pPr>
        <w:pStyle w:val="ListParagraph"/>
        <w:numPr>
          <w:ilvl w:val="0"/>
          <w:numId w:val="24"/>
        </w:numPr>
        <w:ind w:left="0" w:firstLine="0"/>
        <w:rPr>
          <w:rFonts w:ascii="Times New Roman" w:hAnsi="Times New Roman"/>
          <w:b/>
          <w:bCs/>
          <w:sz w:val="20"/>
          <w:szCs w:val="20"/>
        </w:rPr>
      </w:pPr>
      <w:bookmarkStart w:id="0" w:name="_Ref68222781"/>
      <w:r>
        <w:rPr>
          <w:rFonts w:ascii="Times New Roman" w:hAnsi="Times New Roman"/>
          <w:b/>
          <w:bCs/>
          <w:sz w:val="20"/>
          <w:szCs w:val="20"/>
        </w:rPr>
        <w:t xml:space="preserve">For single-connected IAB node, inter-donor migration </w:t>
      </w:r>
      <w:r w:rsidR="00A97447">
        <w:rPr>
          <w:rFonts w:ascii="Times New Roman" w:hAnsi="Times New Roman"/>
          <w:b/>
          <w:bCs/>
          <w:sz w:val="20"/>
          <w:szCs w:val="20"/>
        </w:rPr>
        <w:t>only takes place when the IAB node is experiencing radio link failure and trying to recover</w:t>
      </w:r>
      <w:r w:rsidR="00AD455D">
        <w:rPr>
          <w:rFonts w:ascii="Times New Roman" w:hAnsi="Times New Roman"/>
          <w:b/>
          <w:bCs/>
          <w:sz w:val="20"/>
          <w:szCs w:val="20"/>
        </w:rPr>
        <w:t>, and not for purpose of load balancing</w:t>
      </w:r>
      <w:r w:rsidRPr="19A8F3A7">
        <w:rPr>
          <w:rFonts w:ascii="Times New Roman" w:hAnsi="Times New Roman"/>
          <w:b/>
          <w:bCs/>
          <w:sz w:val="20"/>
          <w:szCs w:val="20"/>
        </w:rPr>
        <w:t>.</w:t>
      </w:r>
      <w:bookmarkEnd w:id="0"/>
      <w:r w:rsidR="0067566A" w:rsidRPr="0067566A">
        <w:t xml:space="preserve"> </w:t>
      </w:r>
    </w:p>
    <w:p w14:paraId="764A4C75" w14:textId="77777777" w:rsidR="0067566A" w:rsidRDefault="0067566A" w:rsidP="0067566A">
      <w:pPr>
        <w:pStyle w:val="Caption"/>
        <w:jc w:val="center"/>
        <w:rPr>
          <w:b w:val="0"/>
          <w:bCs/>
        </w:rPr>
      </w:pPr>
      <w:r w:rsidRPr="00E275B0">
        <w:rPr>
          <w:noProof/>
        </w:rPr>
        <w:lastRenderedPageBreak/>
        <w:drawing>
          <wp:inline distT="0" distB="0" distL="0" distR="0" wp14:anchorId="7DC09D81" wp14:editId="61676841">
            <wp:extent cx="2468537" cy="1749708"/>
            <wp:effectExtent l="0" t="0" r="0" b="3175"/>
            <wp:docPr id="5" name="Picture 4">
              <a:extLst xmlns:a="http://schemas.openxmlformats.org/drawingml/2006/main">
                <a:ext uri="{FF2B5EF4-FFF2-40B4-BE49-F238E27FC236}">
                  <a16:creationId xmlns:a16="http://schemas.microsoft.com/office/drawing/2014/main" id="{0AD63D19-1D8F-49B0-BF8D-A9B8226926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AD63D19-1D8F-49B0-BF8D-A9B82269269D}"/>
                        </a:ext>
                      </a:extLst>
                    </pic:cNvPr>
                    <pic:cNvPicPr>
                      <a:picLocks noChangeAspect="1"/>
                    </pic:cNvPicPr>
                  </pic:nvPicPr>
                  <pic:blipFill>
                    <a:blip r:embed="rId11"/>
                    <a:stretch>
                      <a:fillRect/>
                    </a:stretch>
                  </pic:blipFill>
                  <pic:spPr>
                    <a:xfrm>
                      <a:off x="0" y="0"/>
                      <a:ext cx="2468537" cy="1749708"/>
                    </a:xfrm>
                    <a:prstGeom prst="rect">
                      <a:avLst/>
                    </a:prstGeom>
                  </pic:spPr>
                </pic:pic>
              </a:graphicData>
            </a:graphic>
          </wp:inline>
        </w:drawing>
      </w:r>
      <w:r w:rsidRPr="0067566A">
        <w:rPr>
          <w:b w:val="0"/>
          <w:bCs/>
        </w:rPr>
        <w:t xml:space="preserve"> </w:t>
      </w:r>
    </w:p>
    <w:p w14:paraId="431395CA" w14:textId="4320EF0B" w:rsidR="006B1208" w:rsidRPr="008E0C97" w:rsidRDefault="0067566A" w:rsidP="00123CEF">
      <w:pPr>
        <w:pStyle w:val="Caption"/>
        <w:jc w:val="center"/>
      </w:pPr>
      <w:r w:rsidRPr="008E0C97">
        <w:t xml:space="preserve">Figure </w:t>
      </w:r>
      <w:r w:rsidRPr="009C2293">
        <w:fldChar w:fldCharType="begin"/>
      </w:r>
      <w:r w:rsidRPr="00123CEF">
        <w:instrText xml:space="preserve"> SEQ Figure \* ARABIC </w:instrText>
      </w:r>
      <w:r w:rsidRPr="00123CEF">
        <w:fldChar w:fldCharType="separate"/>
      </w:r>
      <w:r w:rsidR="008F740E">
        <w:rPr>
          <w:noProof/>
        </w:rPr>
        <w:t>1</w:t>
      </w:r>
      <w:r w:rsidRPr="00123CEF">
        <w:fldChar w:fldCharType="end"/>
      </w:r>
      <w:r w:rsidRPr="00123CEF">
        <w:rPr>
          <w:lang w:val="en-US"/>
        </w:rPr>
        <w:t>. Single-connected IAB node inter-donor migration</w:t>
      </w:r>
    </w:p>
    <w:p w14:paraId="52B11B4A" w14:textId="27B3A98F" w:rsidR="0067566A" w:rsidRDefault="00683B78" w:rsidP="00123CEF">
      <w:r>
        <w:t>For single-connec</w:t>
      </w:r>
      <w:r w:rsidR="009D45E9">
        <w:t xml:space="preserve">ted IAB node, </w:t>
      </w:r>
      <w:r w:rsidR="00E275B0">
        <w:t>as shown i</w:t>
      </w:r>
      <w:r w:rsidR="0067566A">
        <w:t>n Figure 1,</w:t>
      </w:r>
      <w:r w:rsidR="00E275B0">
        <w:t xml:space="preserve"> </w:t>
      </w:r>
      <w:r w:rsidR="009D45E9">
        <w:t xml:space="preserve">RAN3 has agreed that the inter-donor migration may terminate after top-level IAB-MT migration, that is </w:t>
      </w:r>
      <w:r w:rsidR="00163E83">
        <w:t>the migrating IAB node and its descendant IAB nodes</w:t>
      </w:r>
      <w:r w:rsidR="00425003">
        <w:t>/</w:t>
      </w:r>
      <w:r w:rsidR="00163E83">
        <w:t>UEs still maintain the</w:t>
      </w:r>
      <w:r w:rsidR="00E275B0">
        <w:t xml:space="preserve"> connection to the original IAB</w:t>
      </w:r>
      <w:r w:rsidR="005A5FD0">
        <w:t>-</w:t>
      </w:r>
      <w:r w:rsidR="00E275B0">
        <w:t>donor</w:t>
      </w:r>
      <w:r w:rsidR="005A5FD0">
        <w:t>-</w:t>
      </w:r>
      <w:r w:rsidR="00E275B0">
        <w:t>CU after migration.</w:t>
      </w:r>
      <w:r w:rsidR="00695049">
        <w:t xml:space="preserve"> Following that agreement, </w:t>
      </w:r>
      <w:r w:rsidR="0067566A">
        <w:t>IAB</w:t>
      </w:r>
      <w:r w:rsidR="00DB0882">
        <w:t>-</w:t>
      </w:r>
      <w:r w:rsidR="0067566A">
        <w:t>donor</w:t>
      </w:r>
      <w:r w:rsidR="00DB0882">
        <w:t>-</w:t>
      </w:r>
      <w:r w:rsidR="0067566A">
        <w:t xml:space="preserve">CU1 </w:t>
      </w:r>
      <w:r w:rsidR="00167A29">
        <w:t xml:space="preserve">can decide </w:t>
      </w:r>
      <w:r w:rsidR="009119C5">
        <w:t>to reroute traffic via routing path through IAB</w:t>
      </w:r>
      <w:r w:rsidR="005A5FD0">
        <w:t>-</w:t>
      </w:r>
      <w:r w:rsidR="009119C5">
        <w:t>donor</w:t>
      </w:r>
      <w:r w:rsidR="005A5FD0">
        <w:t>-</w:t>
      </w:r>
      <w:r w:rsidR="009119C5">
        <w:t>DU 2</w:t>
      </w:r>
      <w:r w:rsidR="005A5FD0">
        <w:t xml:space="preserve">. Meanwhile, </w:t>
      </w:r>
      <w:r w:rsidR="003F1B2F">
        <w:t xml:space="preserve">the descendant IAB nodes and UEs does not need to be </w:t>
      </w:r>
      <w:r w:rsidR="008B2B5E">
        <w:t>reestablished</w:t>
      </w:r>
      <w:r w:rsidR="005A5FD0">
        <w:t xml:space="preserve"> since IAB-donor-CU is not changed</w:t>
      </w:r>
      <w:r w:rsidR="004D3590">
        <w:t>, which can reduce signaling overhead significantly.</w:t>
      </w:r>
    </w:p>
    <w:p w14:paraId="0C92ABCA" w14:textId="2CEC05EE" w:rsidR="004B71DE" w:rsidRDefault="004B71DE" w:rsidP="00123CEF">
      <w:pPr>
        <w:pStyle w:val="ListParagraph"/>
        <w:numPr>
          <w:ilvl w:val="0"/>
          <w:numId w:val="38"/>
        </w:numPr>
        <w:ind w:left="0" w:firstLine="0"/>
        <w:rPr>
          <w:rFonts w:ascii="Times New Roman" w:hAnsi="Times New Roman"/>
          <w:b/>
          <w:bCs/>
          <w:sz w:val="20"/>
          <w:szCs w:val="20"/>
        </w:rPr>
      </w:pPr>
      <w:bookmarkStart w:id="1" w:name="_Ref68222787"/>
      <w:r>
        <w:rPr>
          <w:rFonts w:ascii="Times New Roman" w:hAnsi="Times New Roman"/>
          <w:b/>
          <w:bCs/>
          <w:sz w:val="20"/>
          <w:szCs w:val="20"/>
        </w:rPr>
        <w:t xml:space="preserve">For single-connected IAB node, </w:t>
      </w:r>
      <w:r w:rsidR="004D3590">
        <w:rPr>
          <w:rFonts w:ascii="Times New Roman" w:hAnsi="Times New Roman"/>
          <w:b/>
          <w:bCs/>
          <w:sz w:val="20"/>
          <w:szCs w:val="20"/>
        </w:rPr>
        <w:t xml:space="preserve">RAN3 agrees that </w:t>
      </w:r>
      <w:r w:rsidR="00C922CE">
        <w:rPr>
          <w:rFonts w:ascii="Times New Roman" w:hAnsi="Times New Roman"/>
          <w:b/>
          <w:bCs/>
          <w:sz w:val="20"/>
          <w:szCs w:val="20"/>
        </w:rPr>
        <w:t xml:space="preserve">the migrating IAB node and its descendant nodes/UEs </w:t>
      </w:r>
      <w:r w:rsidR="007B3420">
        <w:rPr>
          <w:rFonts w:ascii="Times New Roman" w:hAnsi="Times New Roman"/>
          <w:b/>
          <w:bCs/>
          <w:sz w:val="20"/>
          <w:szCs w:val="20"/>
        </w:rPr>
        <w:t xml:space="preserve">may keep its connection to source IAB-donor-CU after </w:t>
      </w:r>
      <w:r w:rsidR="00C922CE">
        <w:rPr>
          <w:rFonts w:ascii="Times New Roman" w:hAnsi="Times New Roman"/>
          <w:b/>
          <w:bCs/>
          <w:sz w:val="20"/>
          <w:szCs w:val="20"/>
        </w:rPr>
        <w:t>i</w:t>
      </w:r>
      <w:r>
        <w:rPr>
          <w:rFonts w:ascii="Times New Roman" w:hAnsi="Times New Roman"/>
          <w:b/>
          <w:bCs/>
          <w:sz w:val="20"/>
          <w:szCs w:val="20"/>
        </w:rPr>
        <w:t>nter-donor migration</w:t>
      </w:r>
      <w:r w:rsidR="007B3420">
        <w:rPr>
          <w:rFonts w:ascii="Times New Roman" w:hAnsi="Times New Roman"/>
          <w:b/>
          <w:bCs/>
          <w:sz w:val="20"/>
          <w:szCs w:val="20"/>
        </w:rPr>
        <w:t>.</w:t>
      </w:r>
      <w:bookmarkEnd w:id="1"/>
    </w:p>
    <w:p w14:paraId="7B549582" w14:textId="0C76D108" w:rsidR="004B2CCE" w:rsidRDefault="004B2CCE" w:rsidP="004E0304">
      <w:pPr>
        <w:pStyle w:val="Heading2"/>
        <w:rPr>
          <w:lang w:val="en-US" w:eastAsia="zh-CN"/>
        </w:rPr>
      </w:pPr>
      <w:r>
        <w:rPr>
          <w:lang w:val="en-US" w:eastAsia="zh-CN"/>
        </w:rPr>
        <w:t>Dual</w:t>
      </w:r>
      <w:r w:rsidR="00597680">
        <w:rPr>
          <w:lang w:val="en-US" w:eastAsia="zh-CN"/>
        </w:rPr>
        <w:t>-</w:t>
      </w:r>
      <w:r>
        <w:rPr>
          <w:lang w:val="en-US" w:eastAsia="zh-CN"/>
        </w:rPr>
        <w:t xml:space="preserve">connected </w:t>
      </w:r>
      <w:r w:rsidR="00597680">
        <w:rPr>
          <w:lang w:val="en-US" w:eastAsia="zh-CN"/>
        </w:rPr>
        <w:t xml:space="preserve">IAB node </w:t>
      </w:r>
      <w:r>
        <w:rPr>
          <w:lang w:val="en-US" w:eastAsia="zh-CN"/>
        </w:rPr>
        <w:t xml:space="preserve">inter-donor </w:t>
      </w:r>
      <w:r w:rsidR="00BB27EE">
        <w:rPr>
          <w:lang w:val="en-US" w:eastAsia="zh-CN"/>
        </w:rPr>
        <w:t>topology redundancy</w:t>
      </w:r>
    </w:p>
    <w:p w14:paraId="703A39EF" w14:textId="4BF82C83" w:rsidR="00976A55" w:rsidRDefault="00976A55" w:rsidP="00976A55">
      <w:pPr>
        <w:rPr>
          <w:lang w:eastAsia="zh-CN"/>
        </w:rPr>
      </w:pPr>
      <w:r>
        <w:rPr>
          <w:lang w:eastAsia="zh-CN"/>
        </w:rPr>
        <w:t>As discussed in the companion contribution</w:t>
      </w:r>
      <w:r w:rsidR="00291C2C">
        <w:rPr>
          <w:lang w:eastAsia="zh-CN"/>
        </w:rPr>
        <w:t xml:space="preserve"> </w:t>
      </w:r>
      <w:r w:rsidR="00512DFD">
        <w:rPr>
          <w:lang w:eastAsia="zh-CN"/>
        </w:rPr>
        <w:fldChar w:fldCharType="begin"/>
      </w:r>
      <w:r w:rsidR="00512DFD">
        <w:rPr>
          <w:lang w:eastAsia="zh-CN"/>
        </w:rPr>
        <w:instrText xml:space="preserve"> REF _Ref68174539 \w \h </w:instrText>
      </w:r>
      <w:r w:rsidR="00512DFD">
        <w:rPr>
          <w:lang w:eastAsia="zh-CN"/>
        </w:rPr>
      </w:r>
      <w:r w:rsidR="00512DFD">
        <w:rPr>
          <w:lang w:eastAsia="zh-CN"/>
        </w:rPr>
        <w:fldChar w:fldCharType="separate"/>
      </w:r>
      <w:r w:rsidR="00512DFD">
        <w:rPr>
          <w:lang w:eastAsia="zh-CN"/>
        </w:rPr>
        <w:t>[2]</w:t>
      </w:r>
      <w:r w:rsidR="00512DFD">
        <w:rPr>
          <w:lang w:eastAsia="zh-CN"/>
        </w:rPr>
        <w:fldChar w:fldCharType="end"/>
      </w:r>
      <w:r>
        <w:rPr>
          <w:lang w:eastAsia="zh-CN"/>
        </w:rPr>
        <w:t xml:space="preserve">, NR-DC is </w:t>
      </w:r>
      <w:r w:rsidR="003D4540">
        <w:rPr>
          <w:lang w:eastAsia="zh-CN"/>
        </w:rPr>
        <w:t xml:space="preserve">proposed as the baseline for inter-donor migration of a dual-connected IAB node. </w:t>
      </w:r>
      <w:r w:rsidR="00715170">
        <w:rPr>
          <w:lang w:eastAsia="zh-CN"/>
        </w:rPr>
        <w:t xml:space="preserve">Both RLF and load balancing can be considered as the </w:t>
      </w:r>
      <w:r w:rsidR="00320434">
        <w:rPr>
          <w:lang w:eastAsia="zh-CN"/>
        </w:rPr>
        <w:t>use cases</w:t>
      </w:r>
      <w:r w:rsidR="00715170">
        <w:rPr>
          <w:lang w:eastAsia="zh-CN"/>
        </w:rPr>
        <w:t xml:space="preserve"> for inter-donor migration.</w:t>
      </w:r>
      <w:r w:rsidR="00320434">
        <w:rPr>
          <w:lang w:eastAsia="zh-CN"/>
        </w:rPr>
        <w:t xml:space="preserve"> </w:t>
      </w:r>
      <w:r w:rsidR="00225802">
        <w:rPr>
          <w:lang w:eastAsia="zh-CN"/>
        </w:rPr>
        <w:t>Following two scenarios agreed in</w:t>
      </w:r>
      <w:r w:rsidR="00512DFD">
        <w:rPr>
          <w:lang w:eastAsia="zh-CN"/>
        </w:rPr>
        <w:t xml:space="preserve"> </w:t>
      </w:r>
      <w:r w:rsidR="00C91485">
        <w:rPr>
          <w:lang w:eastAsia="zh-CN"/>
        </w:rPr>
        <w:fldChar w:fldCharType="begin"/>
      </w:r>
      <w:r w:rsidR="00C91485">
        <w:rPr>
          <w:lang w:eastAsia="zh-CN"/>
        </w:rPr>
        <w:instrText xml:space="preserve"> REF _Ref68174370 \w \h </w:instrText>
      </w:r>
      <w:r w:rsidR="00C91485">
        <w:rPr>
          <w:lang w:eastAsia="zh-CN"/>
        </w:rPr>
      </w:r>
      <w:r w:rsidR="00C91485">
        <w:rPr>
          <w:lang w:eastAsia="zh-CN"/>
        </w:rPr>
        <w:fldChar w:fldCharType="separate"/>
      </w:r>
      <w:r w:rsidR="00C91485">
        <w:rPr>
          <w:lang w:eastAsia="zh-CN"/>
        </w:rPr>
        <w:t>[1]</w:t>
      </w:r>
      <w:r w:rsidR="00C91485">
        <w:rPr>
          <w:lang w:eastAsia="zh-CN"/>
        </w:rPr>
        <w:fldChar w:fldCharType="end"/>
      </w:r>
      <w:r w:rsidR="00225802">
        <w:t xml:space="preserve"> as </w:t>
      </w:r>
      <w:r w:rsidR="00C91485">
        <w:t xml:space="preserve">the </w:t>
      </w:r>
      <w:r w:rsidR="00DE1EE5">
        <w:t xml:space="preserve">inter-donor </w:t>
      </w:r>
      <w:r w:rsidR="00225802">
        <w:t>topology redundancy scenario</w:t>
      </w:r>
      <w:r w:rsidR="00C91485">
        <w:t>s</w:t>
      </w:r>
      <w:r w:rsidR="00DE1EE5">
        <w:t>.</w:t>
      </w:r>
    </w:p>
    <w:p w14:paraId="7F2EA21D" w14:textId="77777777" w:rsidR="006F75B1" w:rsidRDefault="006F75B1" w:rsidP="006F75B1">
      <w:pPr>
        <w:keepNext/>
        <w:jc w:val="center"/>
      </w:pPr>
      <w:r>
        <w:object w:dxaOrig="20264" w:dyaOrig="8700" w14:anchorId="4631C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73.95pt" o:ole="">
            <v:imagedata r:id="rId12" o:title=""/>
          </v:shape>
          <o:OLEObject Type="Embed" ProgID="Visio.Drawing.11" ShapeID="_x0000_i1025" DrawAspect="Content" ObjectID="_1678867900" r:id="rId13"/>
        </w:object>
      </w:r>
    </w:p>
    <w:p w14:paraId="3B0E246D" w14:textId="2ED7ABEC" w:rsidR="006F75B1" w:rsidRDefault="006F75B1" w:rsidP="006F75B1">
      <w:pPr>
        <w:pStyle w:val="Caption"/>
        <w:jc w:val="center"/>
        <w:rPr>
          <w:lang w:val="en-US"/>
        </w:rPr>
      </w:pPr>
      <w:r>
        <w:t xml:space="preserve">Figure </w:t>
      </w:r>
      <w:r>
        <w:fldChar w:fldCharType="begin"/>
      </w:r>
      <w:r>
        <w:instrText xml:space="preserve"> SEQ Figure \* ARABIC </w:instrText>
      </w:r>
      <w:r>
        <w:fldChar w:fldCharType="separate"/>
      </w:r>
      <w:r w:rsidR="008F740E">
        <w:rPr>
          <w:noProof/>
        </w:rPr>
        <w:t>2</w:t>
      </w:r>
      <w:r>
        <w:fldChar w:fldCharType="end"/>
      </w:r>
      <w:r>
        <w:rPr>
          <w:lang w:val="en-US"/>
        </w:rPr>
        <w:t>. RAN3 agreed inter-donor topology redundancy</w:t>
      </w:r>
    </w:p>
    <w:p w14:paraId="224E160E" w14:textId="47113752" w:rsidR="008363DE" w:rsidRDefault="008363DE" w:rsidP="008363DE">
      <w:pPr>
        <w:pStyle w:val="Heading3"/>
      </w:pPr>
      <w:r>
        <w:t>RLF handling</w:t>
      </w:r>
    </w:p>
    <w:p w14:paraId="7BDF7DDE" w14:textId="08CFAF52" w:rsidR="00B663D8" w:rsidRDefault="0012628E" w:rsidP="00320434">
      <w:pPr>
        <w:rPr>
          <w:lang w:val="en-GB"/>
        </w:rPr>
      </w:pPr>
      <w:r>
        <w:rPr>
          <w:lang w:val="en-GB"/>
        </w:rPr>
        <w:t xml:space="preserve">Similar as </w:t>
      </w:r>
      <w:r w:rsidR="002B12F6">
        <w:rPr>
          <w:lang w:val="en-GB"/>
        </w:rPr>
        <w:t>single-connected IAB node, RLF is also one of the main use cases that can lead to inter-donor migration</w:t>
      </w:r>
      <w:r w:rsidR="003B50F0">
        <w:rPr>
          <w:lang w:val="en-GB"/>
        </w:rPr>
        <w:t xml:space="preserve"> for dual-connected IAB node</w:t>
      </w:r>
      <w:r w:rsidR="002B12F6">
        <w:rPr>
          <w:lang w:val="en-GB"/>
        </w:rPr>
        <w:t xml:space="preserve">. </w:t>
      </w:r>
      <w:r w:rsidR="00792B4D">
        <w:rPr>
          <w:lang w:val="en-GB"/>
        </w:rPr>
        <w:t>In RAN3 #111e meeting, it is agreed that:</w:t>
      </w:r>
    </w:p>
    <w:tbl>
      <w:tblPr>
        <w:tblStyle w:val="TableGrid"/>
        <w:tblW w:w="0" w:type="auto"/>
        <w:tblLook w:val="04A0" w:firstRow="1" w:lastRow="0" w:firstColumn="1" w:lastColumn="0" w:noHBand="0" w:noVBand="1"/>
      </w:tblPr>
      <w:tblGrid>
        <w:gridCol w:w="9350"/>
      </w:tblGrid>
      <w:tr w:rsidR="00792B4D" w14:paraId="0DB0FDA2" w14:textId="77777777" w:rsidTr="00792B4D">
        <w:tc>
          <w:tcPr>
            <w:tcW w:w="9350" w:type="dxa"/>
          </w:tcPr>
          <w:p w14:paraId="2C9C929B" w14:textId="2DBA322F" w:rsidR="00792B4D" w:rsidRPr="00123CEF" w:rsidRDefault="00792B4D" w:rsidP="00123CEF">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For an IAB-MT with simultaneous connectivity to two IAB-donors, it should be possible to keep its collocated IAB-DU, all UEs and descendent nodes at donor 1 while routing their F1-U connections via the top-level</w:t>
            </w:r>
            <w:r w:rsidR="00CB4C16">
              <w:rPr>
                <w:rFonts w:ascii="Calibri" w:hAnsi="Calibri" w:cs="Calibri"/>
                <w:b/>
                <w:bCs/>
                <w:color w:val="00B050"/>
                <w:sz w:val="18"/>
                <w:szCs w:val="24"/>
              </w:rPr>
              <w:t xml:space="preserve"> </w:t>
            </w:r>
            <w:r w:rsidRPr="005244F3">
              <w:rPr>
                <w:rFonts w:ascii="Calibri" w:hAnsi="Calibri" w:cs="Calibri"/>
                <w:b/>
                <w:bCs/>
                <w:color w:val="00B050"/>
                <w:sz w:val="18"/>
                <w:szCs w:val="24"/>
              </w:rPr>
              <w:t>migrating IAB-MT’s link with donor 2.</w:t>
            </w:r>
          </w:p>
        </w:tc>
      </w:tr>
    </w:tbl>
    <w:p w14:paraId="1E108034" w14:textId="0C6F4DB6" w:rsidR="00B663D8" w:rsidRDefault="00B663D8" w:rsidP="00B663D8">
      <w:pPr>
        <w:rPr>
          <w:iCs/>
          <w:lang w:val="en-GB"/>
        </w:rPr>
      </w:pPr>
      <w:r>
        <w:rPr>
          <w:iCs/>
          <w:lang w:val="en-GB"/>
        </w:rPr>
        <w:lastRenderedPageBreak/>
        <w:t xml:space="preserve">To reduce RRC reestablishment for descendant IAB nodes and UEs during inter-donor migration, similar as single-connected IAB node inter-donor migration, we further suggest that the IAB-donor-CU remains the same when one of the dual-connected routing path is failed. For example, when RLF happens at the link between IAB1 and IAB3, IAB-donor-CU 1 can decide to reroute the traffic via the other path </w:t>
      </w:r>
      <w:r w:rsidR="005059DB">
        <w:rPr>
          <w:iCs/>
          <w:lang w:val="en-GB"/>
        </w:rPr>
        <w:t xml:space="preserve">to </w:t>
      </w:r>
      <w:r w:rsidR="005E7273">
        <w:rPr>
          <w:iCs/>
          <w:lang w:val="en-GB"/>
        </w:rPr>
        <w:t xml:space="preserve">IAB-donor-CU 1 </w:t>
      </w:r>
      <w:r w:rsidR="00130A70">
        <w:rPr>
          <w:iCs/>
          <w:lang w:val="en-GB"/>
        </w:rPr>
        <w:t>(i.e. IAB3</w:t>
      </w:r>
      <w:r w:rsidR="00CE016F">
        <w:rPr>
          <w:iCs/>
          <w:lang w:val="en-GB"/>
        </w:rPr>
        <w:t>&lt;</w:t>
      </w:r>
      <w:r w:rsidR="00130A70">
        <w:rPr>
          <w:iCs/>
          <w:lang w:val="en-GB"/>
        </w:rPr>
        <w:t>-</w:t>
      </w:r>
      <w:r w:rsidR="00CE016F">
        <w:rPr>
          <w:iCs/>
          <w:lang w:val="en-GB"/>
        </w:rPr>
        <w:t>&gt;</w:t>
      </w:r>
      <w:r w:rsidR="00130A70">
        <w:rPr>
          <w:iCs/>
          <w:lang w:val="en-GB"/>
        </w:rPr>
        <w:t>IAB2</w:t>
      </w:r>
      <w:r w:rsidR="00CE016F">
        <w:rPr>
          <w:iCs/>
          <w:lang w:val="en-GB"/>
        </w:rPr>
        <w:t>&lt;</w:t>
      </w:r>
      <w:r w:rsidR="00130A70">
        <w:rPr>
          <w:iCs/>
          <w:lang w:val="en-GB"/>
        </w:rPr>
        <w:t>-</w:t>
      </w:r>
      <w:r w:rsidR="00CE016F">
        <w:rPr>
          <w:iCs/>
          <w:lang w:val="en-GB"/>
        </w:rPr>
        <w:t>&gt;</w:t>
      </w:r>
      <w:r w:rsidR="00130A70">
        <w:rPr>
          <w:iCs/>
          <w:lang w:val="en-GB"/>
        </w:rPr>
        <w:t>donor</w:t>
      </w:r>
      <w:r w:rsidR="00CE016F">
        <w:rPr>
          <w:iCs/>
          <w:lang w:val="en-GB"/>
        </w:rPr>
        <w:t>-DU2</w:t>
      </w:r>
      <w:r w:rsidR="00130A70">
        <w:rPr>
          <w:iCs/>
          <w:lang w:val="en-GB"/>
        </w:rPr>
        <w:t>)</w:t>
      </w:r>
      <w:r w:rsidR="00F53551">
        <w:rPr>
          <w:iCs/>
          <w:lang w:val="en-GB"/>
        </w:rPr>
        <w:t xml:space="preserve"> </w:t>
      </w:r>
      <w:r>
        <w:rPr>
          <w:iCs/>
          <w:lang w:val="en-GB"/>
        </w:rPr>
        <w:t xml:space="preserve">without handover the migrating IAB nodes and </w:t>
      </w:r>
      <w:r w:rsidR="00F53551">
        <w:rPr>
          <w:iCs/>
          <w:lang w:val="en-GB"/>
        </w:rPr>
        <w:t>descendant IAB nodes/</w:t>
      </w:r>
      <w:r>
        <w:rPr>
          <w:iCs/>
          <w:lang w:val="en-GB"/>
        </w:rPr>
        <w:t>UEs to IAB-donor-CU</w:t>
      </w:r>
      <w:r w:rsidR="00536E78">
        <w:rPr>
          <w:iCs/>
          <w:lang w:val="en-GB"/>
        </w:rPr>
        <w:t xml:space="preserve"> </w:t>
      </w:r>
      <w:r>
        <w:rPr>
          <w:iCs/>
          <w:lang w:val="en-GB"/>
        </w:rPr>
        <w:t xml:space="preserve">2. </w:t>
      </w:r>
    </w:p>
    <w:p w14:paraId="7A13015C" w14:textId="77777777" w:rsidR="00B663D8" w:rsidRDefault="00B663D8" w:rsidP="00B663D8">
      <w:pPr>
        <w:keepNext/>
        <w:jc w:val="center"/>
      </w:pPr>
      <w:r>
        <w:object w:dxaOrig="26905" w:dyaOrig="9430" w14:anchorId="0B60DD25">
          <v:shape id="_x0000_i1026" type="#_x0000_t75" style="width:472.3pt;height:165.05pt" o:ole="">
            <v:imagedata r:id="rId14" o:title=""/>
          </v:shape>
          <o:OLEObject Type="Embed" ProgID="Visio.Drawing.11" ShapeID="_x0000_i1026" DrawAspect="Content" ObjectID="_1678867901" r:id="rId15"/>
        </w:object>
      </w:r>
    </w:p>
    <w:p w14:paraId="462828A6" w14:textId="1DDC556A" w:rsidR="00B663D8" w:rsidRDefault="00B663D8" w:rsidP="00B663D8">
      <w:pPr>
        <w:pStyle w:val="Caption"/>
        <w:jc w:val="center"/>
        <w:rPr>
          <w:iCs/>
          <w:lang w:val="en-GB"/>
        </w:rPr>
      </w:pPr>
      <w:r>
        <w:t xml:space="preserve">Figure </w:t>
      </w:r>
      <w:r>
        <w:fldChar w:fldCharType="begin"/>
      </w:r>
      <w:r>
        <w:instrText xml:space="preserve"> SEQ Figure \* ARABIC </w:instrText>
      </w:r>
      <w:r>
        <w:fldChar w:fldCharType="separate"/>
      </w:r>
      <w:r w:rsidR="008F740E">
        <w:rPr>
          <w:noProof/>
        </w:rPr>
        <w:t>3</w:t>
      </w:r>
      <w:r>
        <w:fldChar w:fldCharType="end"/>
      </w:r>
      <w:r>
        <w:rPr>
          <w:lang w:val="en-US"/>
        </w:rPr>
        <w:t>. Dual-connected IAB node inter-donor migration due to RLF</w:t>
      </w:r>
    </w:p>
    <w:p w14:paraId="0DAC3675" w14:textId="0CC61C67" w:rsidR="00B663D8" w:rsidRDefault="00B663D8" w:rsidP="00B663D8">
      <w:pPr>
        <w:rPr>
          <w:iCs/>
          <w:lang w:val="en-GB"/>
        </w:rPr>
      </w:pPr>
      <w:r>
        <w:rPr>
          <w:iCs/>
          <w:lang w:val="en-GB"/>
        </w:rPr>
        <w:t xml:space="preserve">In this case, the destination of upstream packets remains the same even if the migrating IAB node is using SCG-link after MCG-link is outage due to RLF. This can be transparent to the descendant IAB nodes without exposing DC capability of the migrating IAB node. The child IAB node doesn’t need to perform RRC reestablishment due to one of the links is failed at its parent node. </w:t>
      </w:r>
      <w:r w:rsidR="00116233">
        <w:rPr>
          <w:iCs/>
          <w:lang w:val="en-GB"/>
        </w:rPr>
        <w:t xml:space="preserve">However, this is different </w:t>
      </w:r>
      <w:r w:rsidR="00437DEC">
        <w:rPr>
          <w:iCs/>
          <w:lang w:val="en-GB"/>
        </w:rPr>
        <w:t xml:space="preserve">current mechanism in NR-DC when MCG-link or SCG-link is failed. </w:t>
      </w:r>
      <w:r w:rsidR="00415BD8">
        <w:rPr>
          <w:iCs/>
          <w:lang w:val="en-GB"/>
        </w:rPr>
        <w:t xml:space="preserve">It may also require the IAB-donor-DU 2 connecting with </w:t>
      </w:r>
      <w:r w:rsidR="00481BB9">
        <w:rPr>
          <w:iCs/>
          <w:lang w:val="en-GB"/>
        </w:rPr>
        <w:t xml:space="preserve">two IAB-donor-CUs simultaneously. </w:t>
      </w:r>
      <w:r w:rsidR="00437DEC">
        <w:rPr>
          <w:iCs/>
          <w:lang w:val="en-GB"/>
        </w:rPr>
        <w:t xml:space="preserve">RAN2 should </w:t>
      </w:r>
      <w:r w:rsidR="00481BB9">
        <w:rPr>
          <w:iCs/>
          <w:lang w:val="en-GB"/>
        </w:rPr>
        <w:t xml:space="preserve">ask RAN3 whether this scenario can be supported. </w:t>
      </w:r>
      <w:r w:rsidR="0042542E">
        <w:rPr>
          <w:iCs/>
          <w:lang w:val="en-GB"/>
        </w:rPr>
        <w:t>The</w:t>
      </w:r>
      <w:r w:rsidR="00025013">
        <w:rPr>
          <w:iCs/>
          <w:lang w:val="en-GB"/>
        </w:rPr>
        <w:t xml:space="preserve"> enhancement to NR-DC supporting this scenario in inter-donor migration</w:t>
      </w:r>
      <w:r w:rsidR="0042542E">
        <w:rPr>
          <w:iCs/>
          <w:lang w:val="en-GB"/>
        </w:rPr>
        <w:t xml:space="preserve"> is FFS</w:t>
      </w:r>
      <w:r w:rsidR="00025013">
        <w:rPr>
          <w:iCs/>
          <w:lang w:val="en-GB"/>
        </w:rPr>
        <w:t>.</w:t>
      </w:r>
    </w:p>
    <w:p w14:paraId="5DB3D77E" w14:textId="6FB060EF" w:rsidR="00B663D8" w:rsidRPr="00123CEF" w:rsidRDefault="00010302" w:rsidP="00123CEF">
      <w:pPr>
        <w:pStyle w:val="ListParagraph"/>
        <w:numPr>
          <w:ilvl w:val="0"/>
          <w:numId w:val="24"/>
        </w:numPr>
        <w:ind w:left="0" w:firstLine="0"/>
        <w:rPr>
          <w:rFonts w:ascii="Times New Roman" w:hAnsi="Times New Roman"/>
          <w:b/>
          <w:bCs/>
        </w:rPr>
      </w:pPr>
      <w:bookmarkStart w:id="2" w:name="_Ref68222793"/>
      <w:r w:rsidRPr="00123CEF">
        <w:rPr>
          <w:rFonts w:ascii="Times New Roman" w:hAnsi="Times New Roman"/>
          <w:b/>
          <w:bCs/>
          <w:sz w:val="20"/>
          <w:szCs w:val="20"/>
          <w:lang w:val="en-GB"/>
        </w:rPr>
        <w:t>D</w:t>
      </w:r>
      <w:proofErr w:type="spellStart"/>
      <w:r w:rsidRPr="00123CEF">
        <w:rPr>
          <w:rFonts w:ascii="Times New Roman" w:hAnsi="Times New Roman"/>
          <w:b/>
          <w:bCs/>
          <w:sz w:val="20"/>
          <w:szCs w:val="20"/>
        </w:rPr>
        <w:t>ual</w:t>
      </w:r>
      <w:proofErr w:type="spellEnd"/>
      <w:r w:rsidRPr="00123CEF">
        <w:rPr>
          <w:rFonts w:ascii="Times New Roman" w:hAnsi="Times New Roman"/>
          <w:b/>
          <w:bCs/>
          <w:sz w:val="20"/>
          <w:szCs w:val="20"/>
        </w:rPr>
        <w:t>-connected</w:t>
      </w:r>
      <w:r w:rsidR="00453464" w:rsidRPr="00123CEF">
        <w:rPr>
          <w:rFonts w:ascii="Times New Roman" w:hAnsi="Times New Roman"/>
          <w:b/>
          <w:bCs/>
          <w:sz w:val="20"/>
          <w:szCs w:val="20"/>
        </w:rPr>
        <w:t xml:space="preserve"> migrating IAB node and its descendant nodes/UEs may keep its connection to source IAB-donor-CU after inter-donor migration</w:t>
      </w:r>
      <w:r w:rsidR="00CA0D4E" w:rsidRPr="00123CEF">
        <w:rPr>
          <w:rFonts w:ascii="Times New Roman" w:hAnsi="Times New Roman"/>
          <w:b/>
          <w:bCs/>
          <w:sz w:val="20"/>
          <w:szCs w:val="20"/>
        </w:rPr>
        <w:t>. Enhancement to NR-DC to support this scenario is FFS.</w:t>
      </w:r>
      <w:bookmarkEnd w:id="2"/>
      <w:r w:rsidR="00025013" w:rsidRPr="00123CEF">
        <w:rPr>
          <w:rFonts w:ascii="Times New Roman" w:hAnsi="Times New Roman"/>
          <w:b/>
          <w:bCs/>
          <w:sz w:val="20"/>
          <w:szCs w:val="20"/>
        </w:rPr>
        <w:t xml:space="preserve"> </w:t>
      </w:r>
    </w:p>
    <w:p w14:paraId="5C8F95DD" w14:textId="1ADF6802" w:rsidR="00320434" w:rsidRDefault="00C66B40" w:rsidP="00320434">
      <w:pPr>
        <w:rPr>
          <w:iCs/>
          <w:lang w:val="en-GB"/>
        </w:rPr>
      </w:pPr>
      <w:r>
        <w:rPr>
          <w:iCs/>
          <w:lang w:val="en-GB"/>
        </w:rPr>
        <w:t>In Rel-16</w:t>
      </w:r>
      <w:r w:rsidR="00AC6E2F">
        <w:rPr>
          <w:iCs/>
          <w:lang w:val="en-GB"/>
        </w:rPr>
        <w:t xml:space="preserve"> intra-donor topology </w:t>
      </w:r>
      <w:r w:rsidR="00933649">
        <w:rPr>
          <w:iCs/>
          <w:lang w:val="en-GB"/>
        </w:rPr>
        <w:t>migration</w:t>
      </w:r>
      <w:r>
        <w:rPr>
          <w:iCs/>
          <w:lang w:val="en-GB"/>
        </w:rPr>
        <w:t xml:space="preserve">, </w:t>
      </w:r>
      <w:r w:rsidR="002D0096">
        <w:rPr>
          <w:iCs/>
          <w:lang w:val="en-GB"/>
        </w:rPr>
        <w:t>when the IAB-node</w:t>
      </w:r>
      <w:r w:rsidR="00FA6568">
        <w:rPr>
          <w:iCs/>
          <w:lang w:val="en-GB"/>
        </w:rPr>
        <w:t xml:space="preserve"> has two parent nodes</w:t>
      </w:r>
      <w:r w:rsidR="002D0096">
        <w:rPr>
          <w:iCs/>
          <w:lang w:val="en-GB"/>
        </w:rPr>
        <w:t>, RLF is detected separately for the MCG-link and for the SCG-link</w:t>
      </w:r>
      <w:r w:rsidR="004B4774">
        <w:rPr>
          <w:iCs/>
          <w:lang w:val="en-GB"/>
        </w:rPr>
        <w:t>.</w:t>
      </w:r>
      <w:r w:rsidR="002D0096">
        <w:rPr>
          <w:iCs/>
          <w:lang w:val="en-GB"/>
        </w:rPr>
        <w:t xml:space="preserve"> </w:t>
      </w:r>
      <w:r w:rsidR="004B4774">
        <w:rPr>
          <w:iCs/>
          <w:lang w:val="en-GB"/>
        </w:rPr>
        <w:t>T</w:t>
      </w:r>
      <w:r w:rsidR="002D0096">
        <w:rPr>
          <w:iCs/>
          <w:lang w:val="en-GB"/>
        </w:rPr>
        <w:t xml:space="preserve">he type-4 RLF indication is </w:t>
      </w:r>
      <w:r w:rsidR="004B4774">
        <w:rPr>
          <w:iCs/>
          <w:lang w:val="en-GB"/>
        </w:rPr>
        <w:t xml:space="preserve">triggered when RRC reestablishment has failed, </w:t>
      </w:r>
      <w:r w:rsidR="000656E0">
        <w:rPr>
          <w:iCs/>
          <w:lang w:val="en-GB"/>
        </w:rPr>
        <w:t xml:space="preserve">that is, the type-4 RLF indication is triggered if both MCG-link and SCG-link are failed to recover. </w:t>
      </w:r>
      <w:r w:rsidR="00AC6E2F">
        <w:rPr>
          <w:iCs/>
          <w:lang w:val="en-GB"/>
        </w:rPr>
        <w:t xml:space="preserve">This remains the same </w:t>
      </w:r>
      <w:r w:rsidR="00933649">
        <w:rPr>
          <w:iCs/>
          <w:lang w:val="en-GB"/>
        </w:rPr>
        <w:t xml:space="preserve">for inter-donor migration. </w:t>
      </w:r>
    </w:p>
    <w:p w14:paraId="1772D240" w14:textId="07A5E38E" w:rsidR="00F711B3" w:rsidRDefault="00AC66A3" w:rsidP="00F711B3">
      <w:pPr>
        <w:pStyle w:val="ListParagraph"/>
        <w:numPr>
          <w:ilvl w:val="0"/>
          <w:numId w:val="24"/>
        </w:numPr>
        <w:ind w:left="0" w:firstLine="0"/>
        <w:rPr>
          <w:rFonts w:ascii="Times New Roman" w:hAnsi="Times New Roman"/>
          <w:b/>
          <w:bCs/>
          <w:sz w:val="20"/>
          <w:szCs w:val="20"/>
        </w:rPr>
      </w:pPr>
      <w:bookmarkStart w:id="3" w:name="_Ref68222799"/>
      <w:r>
        <w:rPr>
          <w:rFonts w:ascii="Times New Roman" w:hAnsi="Times New Roman"/>
          <w:b/>
          <w:bCs/>
          <w:sz w:val="20"/>
          <w:szCs w:val="20"/>
        </w:rPr>
        <w:t xml:space="preserve">For an IAB node dual-connected with two IAB-donor-CUs, </w:t>
      </w:r>
      <w:r w:rsidR="00F711B3">
        <w:rPr>
          <w:rFonts w:ascii="Times New Roman" w:hAnsi="Times New Roman"/>
          <w:b/>
          <w:bCs/>
          <w:sz w:val="20"/>
          <w:szCs w:val="20"/>
        </w:rPr>
        <w:t xml:space="preserve">type-4 RLF indication is triggered only if both </w:t>
      </w:r>
      <w:r w:rsidR="00D070BA">
        <w:rPr>
          <w:rFonts w:ascii="Times New Roman" w:hAnsi="Times New Roman"/>
          <w:b/>
          <w:bCs/>
          <w:sz w:val="20"/>
          <w:szCs w:val="20"/>
        </w:rPr>
        <w:t>links</w:t>
      </w:r>
      <w:r w:rsidR="00F711B3">
        <w:rPr>
          <w:rFonts w:ascii="Times New Roman" w:hAnsi="Times New Roman"/>
          <w:b/>
          <w:bCs/>
          <w:sz w:val="20"/>
          <w:szCs w:val="20"/>
        </w:rPr>
        <w:t xml:space="preserve"> failed to recover</w:t>
      </w:r>
      <w:r w:rsidR="00F711B3" w:rsidRPr="19A8F3A7">
        <w:rPr>
          <w:rFonts w:ascii="Times New Roman" w:hAnsi="Times New Roman"/>
          <w:b/>
          <w:bCs/>
          <w:sz w:val="20"/>
          <w:szCs w:val="20"/>
        </w:rPr>
        <w:t>.</w:t>
      </w:r>
      <w:bookmarkEnd w:id="3"/>
    </w:p>
    <w:p w14:paraId="4CAB4DC9" w14:textId="777FBE5E" w:rsidR="004264E2" w:rsidRDefault="00574A23" w:rsidP="00FF7C45">
      <w:r>
        <w:t xml:space="preserve">During RAN2 #113e meeting, </w:t>
      </w:r>
      <w:r w:rsidR="00FF7C45">
        <w:t xml:space="preserve">RAN2 also agreed </w:t>
      </w:r>
      <w:r>
        <w:t xml:space="preserve">to consider </w:t>
      </w:r>
      <w:r w:rsidR="004264E2">
        <w:t xml:space="preserve">enhancing RLF indication with </w:t>
      </w:r>
      <w:r>
        <w:t>type-2 and type-3 RLF indication</w:t>
      </w:r>
      <w:r w:rsidR="00874214">
        <w:t>.</w:t>
      </w:r>
      <w:r w:rsidR="007207D3">
        <w:t xml:space="preserve"> Recalling two scenarios of inter-donor topology redundancy agreed in RAN3 </w:t>
      </w:r>
      <w:r w:rsidR="00456136">
        <w:fldChar w:fldCharType="begin"/>
      </w:r>
      <w:r w:rsidR="00456136">
        <w:instrText xml:space="preserve"> REF _Ref68174370 \w \h </w:instrText>
      </w:r>
      <w:r w:rsidR="00456136">
        <w:fldChar w:fldCharType="separate"/>
      </w:r>
      <w:r w:rsidR="00456136">
        <w:t>[1]</w:t>
      </w:r>
      <w:r w:rsidR="00456136">
        <w:fldChar w:fldCharType="end"/>
      </w:r>
      <w:r w:rsidR="00002FE7">
        <w:t xml:space="preserve">, </w:t>
      </w:r>
      <w:r w:rsidR="00BE7022">
        <w:t>we further discuss the behavior of IAB node</w:t>
      </w:r>
      <w:r w:rsidR="00456136">
        <w:t xml:space="preserve"> connected with two IAB-donor-CU</w:t>
      </w:r>
      <w:r w:rsidR="00BE7022" w:rsidRPr="00BE7022">
        <w:t xml:space="preserve"> </w:t>
      </w:r>
      <w:r w:rsidR="00BE7022">
        <w:t>after receiving type-2</w:t>
      </w:r>
      <w:r w:rsidR="00CB04D8">
        <w:t xml:space="preserve"> RLF indication</w:t>
      </w:r>
      <w:r w:rsidR="00BE7022">
        <w:t>.</w:t>
      </w:r>
    </w:p>
    <w:p w14:paraId="14FCBD0C" w14:textId="5D950B19" w:rsidR="00CB04D8" w:rsidRDefault="00CB04D8" w:rsidP="00CB04D8">
      <w:pPr>
        <w:rPr>
          <w:lang w:eastAsia="x-none"/>
        </w:rPr>
      </w:pPr>
      <w:r>
        <w:rPr>
          <w:lang w:eastAsia="x-none"/>
        </w:rPr>
        <w:t xml:space="preserve">For scenario 1, </w:t>
      </w:r>
      <w:r w:rsidR="00E00CC3">
        <w:rPr>
          <w:lang w:eastAsia="x-none"/>
        </w:rPr>
        <w:t>assum</w:t>
      </w:r>
      <w:r w:rsidR="00E513F8">
        <w:rPr>
          <w:lang w:eastAsia="x-none"/>
        </w:rPr>
        <w:t>ing</w:t>
      </w:r>
      <w:r w:rsidR="00E00CC3">
        <w:rPr>
          <w:lang w:eastAsia="x-none"/>
        </w:rPr>
        <w:t xml:space="preserve"> </w:t>
      </w:r>
      <w:r w:rsidR="00E513F8">
        <w:rPr>
          <w:lang w:eastAsia="x-none"/>
        </w:rPr>
        <w:t>the link between IAB</w:t>
      </w:r>
      <w:r w:rsidR="00DF3500">
        <w:rPr>
          <w:lang w:eastAsia="x-none"/>
        </w:rPr>
        <w:t>-</w:t>
      </w:r>
      <w:r w:rsidR="00E513F8">
        <w:rPr>
          <w:lang w:eastAsia="x-none"/>
        </w:rPr>
        <w:t>donor</w:t>
      </w:r>
      <w:r w:rsidR="00DF3500">
        <w:rPr>
          <w:lang w:eastAsia="x-none"/>
        </w:rPr>
        <w:t>-</w:t>
      </w:r>
      <w:r w:rsidR="00E513F8">
        <w:rPr>
          <w:lang w:eastAsia="x-none"/>
        </w:rPr>
        <w:t>DU</w:t>
      </w:r>
      <w:r w:rsidR="00DF3500">
        <w:rPr>
          <w:lang w:eastAsia="x-none"/>
        </w:rPr>
        <w:t xml:space="preserve"> 1</w:t>
      </w:r>
      <w:r w:rsidR="00E513F8">
        <w:rPr>
          <w:lang w:eastAsia="x-none"/>
        </w:rPr>
        <w:t xml:space="preserve"> and IAB 1 is experiencing radio link failure, </w:t>
      </w:r>
      <w:r w:rsidR="004D0E8D">
        <w:rPr>
          <w:lang w:eastAsia="x-none"/>
        </w:rPr>
        <w:t>according to RAN2 agreement, IAB3 will receive a type-2 RLF</w:t>
      </w:r>
      <w:r w:rsidR="00E00CC3">
        <w:rPr>
          <w:lang w:eastAsia="x-none"/>
        </w:rPr>
        <w:t xml:space="preserve"> </w:t>
      </w:r>
      <w:r w:rsidR="00867955">
        <w:rPr>
          <w:lang w:eastAsia="x-none"/>
        </w:rPr>
        <w:t xml:space="preserve">indication </w:t>
      </w:r>
      <w:r w:rsidR="0027326F">
        <w:rPr>
          <w:lang w:eastAsia="x-none"/>
        </w:rPr>
        <w:t>from IAB1.</w:t>
      </w:r>
      <w:r w:rsidR="002D7BE5">
        <w:rPr>
          <w:lang w:eastAsia="x-none"/>
        </w:rPr>
        <w:t xml:space="preserve"> D</w:t>
      </w:r>
      <w:r w:rsidR="0027326F">
        <w:rPr>
          <w:lang w:eastAsia="x-none"/>
        </w:rPr>
        <w:t xml:space="preserve">ifferent from intra-donor migration, </w:t>
      </w:r>
      <w:r w:rsidR="007529F0">
        <w:rPr>
          <w:lang w:eastAsia="x-none"/>
        </w:rPr>
        <w:t>IAB3 cannot decide locally whether to switch to IAB</w:t>
      </w:r>
      <w:r w:rsidR="00DF3500">
        <w:rPr>
          <w:lang w:eastAsia="x-none"/>
        </w:rPr>
        <w:t>-</w:t>
      </w:r>
      <w:r w:rsidR="007529F0">
        <w:rPr>
          <w:lang w:eastAsia="x-none"/>
        </w:rPr>
        <w:t>donor</w:t>
      </w:r>
      <w:r w:rsidR="00DF3500">
        <w:rPr>
          <w:lang w:eastAsia="x-none"/>
        </w:rPr>
        <w:t>-C</w:t>
      </w:r>
      <w:r w:rsidR="00A93FD6">
        <w:rPr>
          <w:lang w:eastAsia="x-none"/>
        </w:rPr>
        <w:t>U</w:t>
      </w:r>
      <w:r w:rsidR="007529F0">
        <w:rPr>
          <w:lang w:eastAsia="x-none"/>
        </w:rPr>
        <w:t>2 or not</w:t>
      </w:r>
      <w:r w:rsidR="001119C1">
        <w:rPr>
          <w:lang w:eastAsia="x-none"/>
        </w:rPr>
        <w:t xml:space="preserve">. </w:t>
      </w:r>
      <w:r w:rsidR="00A23DE5">
        <w:rPr>
          <w:lang w:eastAsia="x-none"/>
        </w:rPr>
        <w:t>I</w:t>
      </w:r>
      <w:r w:rsidR="00724DE0">
        <w:rPr>
          <w:lang w:eastAsia="x-none"/>
        </w:rPr>
        <w:t xml:space="preserve">f those IAB nodes </w:t>
      </w:r>
      <w:r w:rsidR="00837A9C">
        <w:rPr>
          <w:lang w:eastAsia="x-none"/>
        </w:rPr>
        <w:t xml:space="preserve">are migrating from IAB-donor-CU1 to IAB-donor-CU2, IAB-donor-CU1 need to handover </w:t>
      </w:r>
      <w:r w:rsidR="00371276">
        <w:rPr>
          <w:lang w:eastAsia="x-none"/>
        </w:rPr>
        <w:t>UE context of those IAB-MTs and UEs to IAB-donor-CU2. Hence, i</w:t>
      </w:r>
      <w:r w:rsidR="003716DB">
        <w:rPr>
          <w:lang w:eastAsia="x-none"/>
        </w:rPr>
        <w:t>t is IAB</w:t>
      </w:r>
      <w:r w:rsidR="001119C1">
        <w:rPr>
          <w:lang w:eastAsia="x-none"/>
        </w:rPr>
        <w:t>-</w:t>
      </w:r>
      <w:r w:rsidR="003716DB">
        <w:rPr>
          <w:lang w:eastAsia="x-none"/>
        </w:rPr>
        <w:t>donor</w:t>
      </w:r>
      <w:r w:rsidR="001119C1">
        <w:rPr>
          <w:lang w:eastAsia="x-none"/>
        </w:rPr>
        <w:t>-CU</w:t>
      </w:r>
      <w:r w:rsidR="003716DB">
        <w:rPr>
          <w:lang w:eastAsia="x-none"/>
        </w:rPr>
        <w:t xml:space="preserve">1’s decision whether </w:t>
      </w:r>
      <w:r w:rsidR="004B701E">
        <w:rPr>
          <w:lang w:eastAsia="x-none"/>
        </w:rPr>
        <w:t xml:space="preserve">IAB3 can use the second link or not. </w:t>
      </w:r>
      <w:r w:rsidR="008F0691">
        <w:rPr>
          <w:lang w:eastAsia="x-none"/>
        </w:rPr>
        <w:t>F</w:t>
      </w:r>
      <w:r w:rsidR="006C5A0F">
        <w:rPr>
          <w:lang w:eastAsia="x-none"/>
        </w:rPr>
        <w:t xml:space="preserve">or </w:t>
      </w:r>
      <w:r w:rsidR="008F0691">
        <w:rPr>
          <w:lang w:eastAsia="x-none"/>
        </w:rPr>
        <w:t>an IAB node dual-connected with two IAB-donor-CUs</w:t>
      </w:r>
      <w:r w:rsidR="006C5A0F">
        <w:rPr>
          <w:lang w:eastAsia="x-none"/>
        </w:rPr>
        <w:t xml:space="preserve">, type-2 RLF indication </w:t>
      </w:r>
      <w:r w:rsidR="00CD29C3">
        <w:rPr>
          <w:lang w:eastAsia="x-none"/>
        </w:rPr>
        <w:t>is not used to trigger local rerouting.</w:t>
      </w:r>
    </w:p>
    <w:p w14:paraId="34CC07BF" w14:textId="605E6455" w:rsidR="005531F6" w:rsidRPr="00BB27EE" w:rsidRDefault="005531F6" w:rsidP="005531F6">
      <w:pPr>
        <w:pStyle w:val="ListParagraph"/>
        <w:numPr>
          <w:ilvl w:val="0"/>
          <w:numId w:val="24"/>
        </w:numPr>
        <w:ind w:left="0" w:firstLine="0"/>
        <w:rPr>
          <w:rFonts w:ascii="Times New Roman" w:hAnsi="Times New Roman"/>
          <w:b/>
          <w:bCs/>
          <w:sz w:val="20"/>
          <w:szCs w:val="20"/>
        </w:rPr>
      </w:pPr>
      <w:bookmarkStart w:id="4" w:name="_Ref68222804"/>
      <w:r>
        <w:rPr>
          <w:rFonts w:ascii="Times New Roman" w:hAnsi="Times New Roman"/>
          <w:b/>
          <w:bCs/>
          <w:sz w:val="20"/>
          <w:szCs w:val="20"/>
        </w:rPr>
        <w:t>For</w:t>
      </w:r>
      <w:r w:rsidR="00DE563D">
        <w:rPr>
          <w:rFonts w:ascii="Times New Roman" w:hAnsi="Times New Roman"/>
          <w:b/>
          <w:bCs/>
          <w:sz w:val="20"/>
          <w:szCs w:val="20"/>
        </w:rPr>
        <w:t xml:space="preserve"> an </w:t>
      </w:r>
      <w:r>
        <w:rPr>
          <w:rFonts w:ascii="Times New Roman" w:hAnsi="Times New Roman"/>
          <w:b/>
          <w:bCs/>
          <w:sz w:val="20"/>
          <w:szCs w:val="20"/>
        </w:rPr>
        <w:t>IAB node</w:t>
      </w:r>
      <w:r w:rsidR="00DE563D">
        <w:rPr>
          <w:rFonts w:ascii="Times New Roman" w:hAnsi="Times New Roman"/>
          <w:b/>
          <w:bCs/>
          <w:sz w:val="20"/>
          <w:szCs w:val="20"/>
        </w:rPr>
        <w:t xml:space="preserve"> dual-connected with two IAB-donor</w:t>
      </w:r>
      <w:r w:rsidR="00AC66A3">
        <w:rPr>
          <w:rFonts w:ascii="Times New Roman" w:hAnsi="Times New Roman"/>
          <w:b/>
          <w:bCs/>
          <w:sz w:val="20"/>
          <w:szCs w:val="20"/>
        </w:rPr>
        <w:t>-</w:t>
      </w:r>
      <w:r w:rsidR="00DE563D">
        <w:rPr>
          <w:rFonts w:ascii="Times New Roman" w:hAnsi="Times New Roman"/>
          <w:b/>
          <w:bCs/>
          <w:sz w:val="20"/>
          <w:szCs w:val="20"/>
        </w:rPr>
        <w:t>CUs</w:t>
      </w:r>
      <w:r>
        <w:rPr>
          <w:rFonts w:ascii="Times New Roman" w:hAnsi="Times New Roman"/>
          <w:b/>
          <w:bCs/>
          <w:sz w:val="20"/>
          <w:szCs w:val="20"/>
        </w:rPr>
        <w:t xml:space="preserve">, type-2 RLF indication </w:t>
      </w:r>
      <w:r w:rsidR="00EA5D5F">
        <w:rPr>
          <w:rFonts w:ascii="Times New Roman" w:hAnsi="Times New Roman"/>
          <w:b/>
          <w:bCs/>
          <w:sz w:val="20"/>
          <w:szCs w:val="20"/>
        </w:rPr>
        <w:t>is not used to trigger local rerouting</w:t>
      </w:r>
      <w:r w:rsidRPr="19A8F3A7">
        <w:rPr>
          <w:rFonts w:ascii="Times New Roman" w:hAnsi="Times New Roman"/>
          <w:b/>
          <w:bCs/>
          <w:sz w:val="20"/>
          <w:szCs w:val="20"/>
        </w:rPr>
        <w:t>.</w:t>
      </w:r>
      <w:bookmarkEnd w:id="4"/>
    </w:p>
    <w:p w14:paraId="4C49918D" w14:textId="5D3F0173" w:rsidR="008F740E" w:rsidRDefault="007E40F3" w:rsidP="00123CEF">
      <w:pPr>
        <w:keepNext/>
        <w:jc w:val="center"/>
      </w:pPr>
      <w:r>
        <w:object w:dxaOrig="23560" w:dyaOrig="16690" w14:anchorId="168A261A">
          <v:shape id="_x0000_i1027" type="#_x0000_t75" style="width:242.75pt;height:171.8pt" o:ole="">
            <v:imagedata r:id="rId16" o:title=""/>
          </v:shape>
          <o:OLEObject Type="Embed" ProgID="Visio.Drawing.15" ShapeID="_x0000_i1027" DrawAspect="Content" ObjectID="_1678867902" r:id="rId17"/>
        </w:object>
      </w:r>
    </w:p>
    <w:p w14:paraId="50B77DC3" w14:textId="26C4C7D4" w:rsidR="007E6866" w:rsidRDefault="008F740E" w:rsidP="00123CEF">
      <w:pPr>
        <w:jc w:val="center"/>
        <w:rPr>
          <w:lang w:eastAsia="x-none"/>
        </w:rPr>
      </w:pPr>
      <w:r w:rsidRPr="00123CEF">
        <w:rPr>
          <w:b/>
          <w:bCs/>
        </w:rPr>
        <w:t xml:space="preserve">Figure </w:t>
      </w:r>
      <w:r w:rsidR="005D25F8" w:rsidRPr="00123CEF">
        <w:rPr>
          <w:b/>
          <w:bCs/>
        </w:rPr>
        <w:t>4</w:t>
      </w:r>
      <w:r w:rsidRPr="00123CEF">
        <w:rPr>
          <w:b/>
          <w:bCs/>
        </w:rPr>
        <w:t>. Triggering type-2 RLF indication at boundary IAB node</w:t>
      </w:r>
    </w:p>
    <w:p w14:paraId="5BFADED0" w14:textId="6B13AE9E" w:rsidR="00CD29C3" w:rsidRDefault="00CD29C3" w:rsidP="00CB04D8">
      <w:pPr>
        <w:rPr>
          <w:lang w:eastAsia="x-none"/>
        </w:rPr>
      </w:pPr>
      <w:r>
        <w:rPr>
          <w:lang w:eastAsia="x-none"/>
        </w:rPr>
        <w:t xml:space="preserve">For scenario 2, </w:t>
      </w:r>
      <w:r w:rsidR="003D5B0A">
        <w:rPr>
          <w:lang w:eastAsia="x-none"/>
        </w:rPr>
        <w:t>assuming</w:t>
      </w:r>
      <w:r w:rsidR="004206BE">
        <w:rPr>
          <w:lang w:eastAsia="x-none"/>
        </w:rPr>
        <w:t xml:space="preserve"> the link between IAB1 and IAB3 is RLF, </w:t>
      </w:r>
      <w:r w:rsidR="003D5B0A">
        <w:rPr>
          <w:lang w:eastAsia="x-none"/>
        </w:rPr>
        <w:t xml:space="preserve">IAB node 3 will try to recover from RLF in that link. It is possible that IAB node 4 </w:t>
      </w:r>
      <w:r w:rsidR="00CC0896">
        <w:rPr>
          <w:lang w:eastAsia="x-none"/>
        </w:rPr>
        <w:t>has</w:t>
      </w:r>
      <w:r w:rsidR="0043398F">
        <w:rPr>
          <w:lang w:eastAsia="x-none"/>
        </w:rPr>
        <w:t xml:space="preserve"> two intra-donor </w:t>
      </w:r>
      <w:r w:rsidR="003D224A">
        <w:rPr>
          <w:lang w:eastAsia="x-none"/>
        </w:rPr>
        <w:t xml:space="preserve">parent </w:t>
      </w:r>
      <w:r w:rsidR="0043398F">
        <w:rPr>
          <w:lang w:eastAsia="x-none"/>
        </w:rPr>
        <w:t>IAB nodes</w:t>
      </w:r>
      <w:r w:rsidR="003E39E9">
        <w:rPr>
          <w:lang w:eastAsia="x-none"/>
        </w:rPr>
        <w:t xml:space="preserve"> (IAB node 3 and </w:t>
      </w:r>
      <w:r w:rsidR="003D224A">
        <w:rPr>
          <w:lang w:eastAsia="x-none"/>
        </w:rPr>
        <w:t>IAB node 5</w:t>
      </w:r>
      <w:r w:rsidR="003E39E9">
        <w:rPr>
          <w:lang w:eastAsia="x-none"/>
        </w:rPr>
        <w:t>)</w:t>
      </w:r>
      <w:r w:rsidR="00932119">
        <w:rPr>
          <w:lang w:eastAsia="x-none"/>
        </w:rPr>
        <w:t xml:space="preserve">. It would be beneficial </w:t>
      </w:r>
      <w:r w:rsidR="00F071B1">
        <w:rPr>
          <w:lang w:eastAsia="x-none"/>
        </w:rPr>
        <w:t>that IAB node 3 can send a</w:t>
      </w:r>
      <w:r w:rsidR="00A53102">
        <w:rPr>
          <w:lang w:eastAsia="x-none"/>
        </w:rPr>
        <w:t xml:space="preserve"> type-2 RLF indication to IAB4 </w:t>
      </w:r>
      <w:r w:rsidR="00AF7FFD">
        <w:rPr>
          <w:lang w:eastAsia="x-none"/>
        </w:rPr>
        <w:t xml:space="preserve">when either </w:t>
      </w:r>
      <w:r w:rsidR="00F071B1">
        <w:rPr>
          <w:lang w:eastAsia="x-none"/>
        </w:rPr>
        <w:t xml:space="preserve">one of </w:t>
      </w:r>
      <w:r w:rsidR="00F2547F">
        <w:rPr>
          <w:lang w:eastAsia="x-none"/>
        </w:rPr>
        <w:t xml:space="preserve">the two </w:t>
      </w:r>
      <w:r w:rsidR="00F071B1">
        <w:rPr>
          <w:lang w:eastAsia="x-none"/>
        </w:rPr>
        <w:t>links</w:t>
      </w:r>
      <w:r w:rsidR="00BD2032">
        <w:rPr>
          <w:lang w:eastAsia="x-none"/>
        </w:rPr>
        <w:t xml:space="preserve"> </w:t>
      </w:r>
      <w:proofErr w:type="gramStart"/>
      <w:r w:rsidR="0038026E">
        <w:rPr>
          <w:lang w:eastAsia="x-none"/>
        </w:rPr>
        <w:t>is</w:t>
      </w:r>
      <w:proofErr w:type="gramEnd"/>
      <w:r w:rsidR="0038026E">
        <w:rPr>
          <w:lang w:eastAsia="x-none"/>
        </w:rPr>
        <w:t xml:space="preserve"> </w:t>
      </w:r>
      <w:r w:rsidR="00BD2032">
        <w:rPr>
          <w:lang w:eastAsia="x-none"/>
        </w:rPr>
        <w:t>experiencing and recovering from RLF.</w:t>
      </w:r>
      <w:r w:rsidR="00A71E74">
        <w:rPr>
          <w:lang w:eastAsia="x-none"/>
        </w:rPr>
        <w:t xml:space="preserve"> </w:t>
      </w:r>
      <w:r w:rsidR="0038026E">
        <w:rPr>
          <w:lang w:eastAsia="x-none"/>
        </w:rPr>
        <w:t>Upon receiving this type-2 RLF in</w:t>
      </w:r>
      <w:r w:rsidR="005F1DFC">
        <w:rPr>
          <w:lang w:eastAsia="x-none"/>
        </w:rPr>
        <w:t>dication, IAB node 4 can then perform intra-donor local rerouting</w:t>
      </w:r>
      <w:r w:rsidR="00341B7D">
        <w:rPr>
          <w:lang w:eastAsia="x-none"/>
        </w:rPr>
        <w:t xml:space="preserve">, rather than waiting </w:t>
      </w:r>
      <w:r w:rsidR="004C3945">
        <w:rPr>
          <w:lang w:eastAsia="x-none"/>
        </w:rPr>
        <w:t>the link IAB1-IAB3 RLF recovery.</w:t>
      </w:r>
      <w:r w:rsidR="002E4671">
        <w:rPr>
          <w:lang w:eastAsia="x-none"/>
        </w:rPr>
        <w:t xml:space="preserve"> </w:t>
      </w:r>
      <w:r w:rsidR="007B5C46">
        <w:rPr>
          <w:lang w:eastAsia="x-none"/>
        </w:rPr>
        <w:t xml:space="preserve">IAB node receiving type-2 RLF indication can </w:t>
      </w:r>
      <w:r w:rsidR="001371C7">
        <w:rPr>
          <w:lang w:eastAsia="x-none"/>
        </w:rPr>
        <w:t xml:space="preserve">also </w:t>
      </w:r>
      <w:r w:rsidR="007B5C46">
        <w:rPr>
          <w:lang w:eastAsia="x-none"/>
        </w:rPr>
        <w:t>perform e</w:t>
      </w:r>
      <w:r w:rsidR="00A71E74">
        <w:rPr>
          <w:lang w:eastAsia="x-none"/>
        </w:rPr>
        <w:t xml:space="preserve">arly measurement </w:t>
      </w:r>
      <w:r w:rsidR="007B5C46">
        <w:rPr>
          <w:lang w:eastAsia="x-none"/>
        </w:rPr>
        <w:t xml:space="preserve">as </w:t>
      </w:r>
      <w:r w:rsidR="00A71E74">
        <w:rPr>
          <w:lang w:eastAsia="x-none"/>
        </w:rPr>
        <w:t>proposed in the companion contribution</w:t>
      </w:r>
      <w:r w:rsidR="000C1883">
        <w:rPr>
          <w:lang w:eastAsia="x-none"/>
        </w:rPr>
        <w:t xml:space="preserve"> </w:t>
      </w:r>
      <w:r w:rsidR="000C1883">
        <w:rPr>
          <w:lang w:eastAsia="x-none"/>
        </w:rPr>
        <w:fldChar w:fldCharType="begin"/>
      </w:r>
      <w:r w:rsidR="000C1883">
        <w:rPr>
          <w:lang w:eastAsia="x-none"/>
        </w:rPr>
        <w:instrText xml:space="preserve"> REF _Ref68220622 \w \h </w:instrText>
      </w:r>
      <w:r w:rsidR="000C1883">
        <w:rPr>
          <w:lang w:eastAsia="x-none"/>
        </w:rPr>
      </w:r>
      <w:r w:rsidR="000C1883">
        <w:rPr>
          <w:lang w:eastAsia="x-none"/>
        </w:rPr>
        <w:fldChar w:fldCharType="separate"/>
      </w:r>
      <w:r w:rsidR="000C1883">
        <w:rPr>
          <w:lang w:eastAsia="x-none"/>
        </w:rPr>
        <w:t>[3]</w:t>
      </w:r>
      <w:r w:rsidR="000C1883">
        <w:rPr>
          <w:lang w:eastAsia="x-none"/>
        </w:rPr>
        <w:fldChar w:fldCharType="end"/>
      </w:r>
      <w:r w:rsidR="009530D6">
        <w:rPr>
          <w:lang w:eastAsia="x-none"/>
        </w:rPr>
        <w:t>.</w:t>
      </w:r>
    </w:p>
    <w:p w14:paraId="0E5BAE30" w14:textId="52DC4031" w:rsidR="00BB27EE" w:rsidRPr="00BB27EE" w:rsidRDefault="007D4CCC" w:rsidP="00CB04D8">
      <w:pPr>
        <w:pStyle w:val="ListParagraph"/>
        <w:numPr>
          <w:ilvl w:val="0"/>
          <w:numId w:val="24"/>
        </w:numPr>
        <w:ind w:left="0" w:firstLine="0"/>
        <w:rPr>
          <w:rFonts w:ascii="Times New Roman" w:hAnsi="Times New Roman"/>
          <w:b/>
          <w:bCs/>
          <w:sz w:val="20"/>
          <w:szCs w:val="20"/>
        </w:rPr>
      </w:pPr>
      <w:bookmarkStart w:id="5" w:name="_Ref68222810"/>
      <w:r>
        <w:rPr>
          <w:rFonts w:ascii="Times New Roman" w:hAnsi="Times New Roman"/>
          <w:b/>
          <w:bCs/>
          <w:sz w:val="20"/>
          <w:szCs w:val="20"/>
        </w:rPr>
        <w:t>For an IAB node dual-connected with two IAB-donor-CUs,</w:t>
      </w:r>
      <w:r w:rsidR="00481006">
        <w:rPr>
          <w:rFonts w:ascii="Times New Roman" w:hAnsi="Times New Roman"/>
          <w:b/>
          <w:bCs/>
          <w:sz w:val="20"/>
          <w:szCs w:val="20"/>
        </w:rPr>
        <w:t xml:space="preserve"> boundary IAB node can send</w:t>
      </w:r>
      <w:r>
        <w:rPr>
          <w:rFonts w:ascii="Times New Roman" w:hAnsi="Times New Roman"/>
          <w:b/>
          <w:bCs/>
          <w:sz w:val="20"/>
          <w:szCs w:val="20"/>
        </w:rPr>
        <w:t xml:space="preserve"> </w:t>
      </w:r>
      <w:r w:rsidR="00BB27EE">
        <w:rPr>
          <w:rFonts w:ascii="Times New Roman" w:hAnsi="Times New Roman"/>
          <w:b/>
          <w:bCs/>
          <w:sz w:val="20"/>
          <w:szCs w:val="20"/>
        </w:rPr>
        <w:t>type-</w:t>
      </w:r>
      <w:r w:rsidR="00F57052">
        <w:rPr>
          <w:rFonts w:ascii="Times New Roman" w:hAnsi="Times New Roman"/>
          <w:b/>
          <w:bCs/>
          <w:sz w:val="20"/>
          <w:szCs w:val="20"/>
        </w:rPr>
        <w:t>2</w:t>
      </w:r>
      <w:r w:rsidR="00BB27EE">
        <w:rPr>
          <w:rFonts w:ascii="Times New Roman" w:hAnsi="Times New Roman"/>
          <w:b/>
          <w:bCs/>
          <w:sz w:val="20"/>
          <w:szCs w:val="20"/>
        </w:rPr>
        <w:t xml:space="preserve"> RLF indication </w:t>
      </w:r>
      <w:r w:rsidR="00481006">
        <w:rPr>
          <w:rFonts w:ascii="Times New Roman" w:hAnsi="Times New Roman"/>
          <w:b/>
          <w:bCs/>
          <w:sz w:val="20"/>
          <w:szCs w:val="20"/>
        </w:rPr>
        <w:t>to its child node</w:t>
      </w:r>
      <w:r w:rsidR="00795ED0">
        <w:rPr>
          <w:rFonts w:ascii="Times New Roman" w:hAnsi="Times New Roman"/>
          <w:b/>
          <w:bCs/>
          <w:sz w:val="20"/>
          <w:szCs w:val="20"/>
        </w:rPr>
        <w:t>(s)</w:t>
      </w:r>
      <w:r w:rsidR="00481006">
        <w:rPr>
          <w:rFonts w:ascii="Times New Roman" w:hAnsi="Times New Roman"/>
          <w:b/>
          <w:bCs/>
          <w:sz w:val="20"/>
          <w:szCs w:val="20"/>
        </w:rPr>
        <w:t xml:space="preserve"> if one of </w:t>
      </w:r>
      <w:r w:rsidR="00D32BEA">
        <w:rPr>
          <w:rFonts w:ascii="Times New Roman" w:hAnsi="Times New Roman"/>
          <w:b/>
          <w:bCs/>
          <w:sz w:val="20"/>
          <w:szCs w:val="20"/>
        </w:rPr>
        <w:t>the</w:t>
      </w:r>
      <w:r w:rsidR="00BB27EE">
        <w:rPr>
          <w:rFonts w:ascii="Times New Roman" w:hAnsi="Times New Roman"/>
          <w:b/>
          <w:bCs/>
          <w:sz w:val="20"/>
          <w:szCs w:val="20"/>
        </w:rPr>
        <w:t xml:space="preserve"> links are </w:t>
      </w:r>
      <w:r w:rsidR="00F57052">
        <w:rPr>
          <w:rFonts w:ascii="Times New Roman" w:hAnsi="Times New Roman"/>
          <w:b/>
          <w:bCs/>
          <w:sz w:val="20"/>
          <w:szCs w:val="20"/>
        </w:rPr>
        <w:t>experiencing and recovering from RLF</w:t>
      </w:r>
      <w:r w:rsidR="00BB27EE" w:rsidRPr="19A8F3A7">
        <w:rPr>
          <w:rFonts w:ascii="Times New Roman" w:hAnsi="Times New Roman"/>
          <w:b/>
          <w:bCs/>
          <w:sz w:val="20"/>
          <w:szCs w:val="20"/>
        </w:rPr>
        <w:t>.</w:t>
      </w:r>
      <w:bookmarkEnd w:id="5"/>
    </w:p>
    <w:p w14:paraId="4D0A527B" w14:textId="003CD161" w:rsidR="00027C05" w:rsidRDefault="00027C05" w:rsidP="004B2CCE">
      <w:pPr>
        <w:pStyle w:val="Heading3"/>
        <w:rPr>
          <w:lang w:eastAsia="zh-CN"/>
        </w:rPr>
      </w:pPr>
      <w:r>
        <w:rPr>
          <w:lang w:eastAsia="zh-CN"/>
        </w:rPr>
        <w:t>Lo</w:t>
      </w:r>
      <w:r w:rsidR="00405179">
        <w:rPr>
          <w:lang w:eastAsia="zh-CN"/>
        </w:rPr>
        <w:t>ad</w:t>
      </w:r>
      <w:r>
        <w:rPr>
          <w:lang w:eastAsia="zh-CN"/>
        </w:rPr>
        <w:t xml:space="preserve"> </w:t>
      </w:r>
      <w:r w:rsidR="00CE0993">
        <w:rPr>
          <w:lang w:eastAsia="zh-CN"/>
        </w:rPr>
        <w:t>balancing</w:t>
      </w:r>
    </w:p>
    <w:p w14:paraId="607A9E37" w14:textId="276F82F0" w:rsidR="0008306A" w:rsidRDefault="00EA1046" w:rsidP="0008306A">
      <w:pPr>
        <w:rPr>
          <w:iCs/>
        </w:rPr>
      </w:pPr>
      <w:r>
        <w:rPr>
          <w:iCs/>
        </w:rPr>
        <w:t xml:space="preserve">In </w:t>
      </w:r>
      <w:r w:rsidR="00EA6EFC">
        <w:rPr>
          <w:iCs/>
        </w:rPr>
        <w:t xml:space="preserve">intra-donor </w:t>
      </w:r>
      <w:r w:rsidR="00E06149">
        <w:rPr>
          <w:iCs/>
        </w:rPr>
        <w:t>topology adaption</w:t>
      </w:r>
      <w:r w:rsidR="00405179">
        <w:rPr>
          <w:iCs/>
        </w:rPr>
        <w:t>,</w:t>
      </w:r>
      <w:r>
        <w:rPr>
          <w:iCs/>
        </w:rPr>
        <w:t xml:space="preserve"> </w:t>
      </w:r>
      <w:r w:rsidR="008A375A">
        <w:rPr>
          <w:iCs/>
        </w:rPr>
        <w:t xml:space="preserve">traffic can be rerouted to another path via local rerouting if IAB node is </w:t>
      </w:r>
      <w:proofErr w:type="gramStart"/>
      <w:r w:rsidR="007C72FF">
        <w:rPr>
          <w:iCs/>
        </w:rPr>
        <w:t>dual-connected</w:t>
      </w:r>
      <w:proofErr w:type="gramEnd"/>
      <w:r w:rsidR="007C72FF">
        <w:rPr>
          <w:iCs/>
        </w:rPr>
        <w:t xml:space="preserve"> with two parent nodes</w:t>
      </w:r>
      <w:r w:rsidR="008A375A">
        <w:rPr>
          <w:iCs/>
        </w:rPr>
        <w:t>. Different from that</w:t>
      </w:r>
      <w:r w:rsidR="00B135C9">
        <w:rPr>
          <w:iCs/>
        </w:rPr>
        <w:t xml:space="preserve">, </w:t>
      </w:r>
      <w:r w:rsidR="00D46C11">
        <w:rPr>
          <w:iCs/>
        </w:rPr>
        <w:t xml:space="preserve">local rerouting cannot be used for inter-donor migration </w:t>
      </w:r>
      <w:r w:rsidR="00C1600F">
        <w:rPr>
          <w:iCs/>
        </w:rPr>
        <w:t>if one traffic flow is moving from source IAB</w:t>
      </w:r>
      <w:r w:rsidR="00D92203">
        <w:rPr>
          <w:iCs/>
        </w:rPr>
        <w:t>-</w:t>
      </w:r>
      <w:r w:rsidR="00C1600F">
        <w:rPr>
          <w:iCs/>
        </w:rPr>
        <w:t>donor</w:t>
      </w:r>
      <w:r w:rsidR="00D92203">
        <w:rPr>
          <w:iCs/>
        </w:rPr>
        <w:t>-CU</w:t>
      </w:r>
      <w:r w:rsidR="00C1600F">
        <w:rPr>
          <w:iCs/>
        </w:rPr>
        <w:t xml:space="preserve"> to target IAB</w:t>
      </w:r>
      <w:r w:rsidR="00D92203">
        <w:rPr>
          <w:iCs/>
        </w:rPr>
        <w:t>-</w:t>
      </w:r>
      <w:r w:rsidR="00C1600F">
        <w:rPr>
          <w:iCs/>
        </w:rPr>
        <w:t>donor</w:t>
      </w:r>
      <w:r w:rsidR="00D92203">
        <w:rPr>
          <w:iCs/>
        </w:rPr>
        <w:t>-CU</w:t>
      </w:r>
      <w:r w:rsidR="00C1600F">
        <w:rPr>
          <w:iCs/>
        </w:rPr>
        <w:t xml:space="preserve"> completely. </w:t>
      </w:r>
      <w:r w:rsidR="004A7EB3">
        <w:rPr>
          <w:iCs/>
        </w:rPr>
        <w:t xml:space="preserve">This is because </w:t>
      </w:r>
      <w:r w:rsidR="00621256">
        <w:rPr>
          <w:iCs/>
        </w:rPr>
        <w:t xml:space="preserve">the </w:t>
      </w:r>
      <w:r w:rsidR="00B96704">
        <w:rPr>
          <w:iCs/>
        </w:rPr>
        <w:t xml:space="preserve">target IAB-donor-CU (i.e. </w:t>
      </w:r>
      <w:r w:rsidR="00333049">
        <w:rPr>
          <w:iCs/>
        </w:rPr>
        <w:t xml:space="preserve">IAB-donor-CU 2 </w:t>
      </w:r>
      <w:r w:rsidR="00B96704">
        <w:rPr>
          <w:iCs/>
        </w:rPr>
        <w:t xml:space="preserve">in Figure 2) </w:t>
      </w:r>
      <w:r w:rsidR="00B67372">
        <w:rPr>
          <w:iCs/>
        </w:rPr>
        <w:t xml:space="preserve">does not have </w:t>
      </w:r>
      <w:r w:rsidR="00B96704">
        <w:rPr>
          <w:iCs/>
        </w:rPr>
        <w:t>the UE context</w:t>
      </w:r>
      <w:r w:rsidR="00B67372">
        <w:rPr>
          <w:iCs/>
        </w:rPr>
        <w:t xml:space="preserve"> about the</w:t>
      </w:r>
      <w:r w:rsidR="00621256">
        <w:rPr>
          <w:iCs/>
        </w:rPr>
        <w:t xml:space="preserve"> descendant IAB nodes and UEs</w:t>
      </w:r>
      <w:r w:rsidR="008E0C97">
        <w:rPr>
          <w:iCs/>
        </w:rPr>
        <w:t xml:space="preserve"> of the migrating IAB node (</w:t>
      </w:r>
      <w:r w:rsidR="002232BC">
        <w:rPr>
          <w:iCs/>
        </w:rPr>
        <w:t xml:space="preserve">i.e. </w:t>
      </w:r>
      <w:r w:rsidR="008E0C97">
        <w:rPr>
          <w:iCs/>
        </w:rPr>
        <w:t>IAB3 in Figure 2)</w:t>
      </w:r>
      <w:r w:rsidR="00333CBE">
        <w:rPr>
          <w:iCs/>
          <w:lang w:val="en-GB"/>
        </w:rPr>
        <w:t xml:space="preserve"> if they originally configured by IAB-donor-CU 1</w:t>
      </w:r>
      <w:r w:rsidR="00B67372">
        <w:rPr>
          <w:iCs/>
        </w:rPr>
        <w:t>.</w:t>
      </w:r>
      <w:r w:rsidR="009E7D43">
        <w:rPr>
          <w:iCs/>
        </w:rPr>
        <w:t xml:space="preserve"> If local rerouting is performed, the target IAB</w:t>
      </w:r>
      <w:r w:rsidR="00AE0943">
        <w:rPr>
          <w:iCs/>
        </w:rPr>
        <w:t>-</w:t>
      </w:r>
      <w:r w:rsidR="009E7D43">
        <w:rPr>
          <w:iCs/>
        </w:rPr>
        <w:t>donor</w:t>
      </w:r>
      <w:r w:rsidR="00AE0943">
        <w:rPr>
          <w:iCs/>
        </w:rPr>
        <w:t>-</w:t>
      </w:r>
      <w:r w:rsidR="009E7D43">
        <w:rPr>
          <w:iCs/>
        </w:rPr>
        <w:t xml:space="preserve">CU cannot </w:t>
      </w:r>
      <w:r w:rsidR="002962DA">
        <w:rPr>
          <w:iCs/>
        </w:rPr>
        <w:t xml:space="preserve">process packets received from those UEs correctly due to lack of UE context and security keys in PDCP layer. </w:t>
      </w:r>
    </w:p>
    <w:p w14:paraId="7B598A80" w14:textId="63FE2B53" w:rsidR="00601B51" w:rsidRDefault="00C96881" w:rsidP="0008306A">
      <w:pPr>
        <w:rPr>
          <w:iCs/>
        </w:rPr>
      </w:pPr>
      <w:r>
        <w:rPr>
          <w:iCs/>
        </w:rPr>
        <w:t xml:space="preserve">Moreover, </w:t>
      </w:r>
      <w:r w:rsidR="00B042DA">
        <w:rPr>
          <w:iCs/>
        </w:rPr>
        <w:t xml:space="preserve">whether one traffic flow is </w:t>
      </w:r>
      <w:r w:rsidR="00601B51">
        <w:rPr>
          <w:iCs/>
        </w:rPr>
        <w:t>terminated at original IA</w:t>
      </w:r>
      <w:r w:rsidR="00271E19">
        <w:rPr>
          <w:iCs/>
        </w:rPr>
        <w:t>B-</w:t>
      </w:r>
      <w:r w:rsidR="00601B51">
        <w:rPr>
          <w:iCs/>
        </w:rPr>
        <w:t>donor</w:t>
      </w:r>
      <w:r w:rsidR="00271E19">
        <w:rPr>
          <w:iCs/>
        </w:rPr>
        <w:t>-</w:t>
      </w:r>
      <w:r w:rsidR="00601B51">
        <w:rPr>
          <w:iCs/>
        </w:rPr>
        <w:t>CU or terminated at the new IAB</w:t>
      </w:r>
      <w:r w:rsidR="00271E19">
        <w:rPr>
          <w:iCs/>
        </w:rPr>
        <w:t>-</w:t>
      </w:r>
      <w:r w:rsidR="00601B51">
        <w:rPr>
          <w:iCs/>
        </w:rPr>
        <w:t>donor</w:t>
      </w:r>
      <w:r w:rsidR="00271E19">
        <w:rPr>
          <w:iCs/>
        </w:rPr>
        <w:t>-</w:t>
      </w:r>
      <w:r w:rsidR="00601B51">
        <w:rPr>
          <w:iCs/>
        </w:rPr>
        <w:t xml:space="preserve">CU should depends on the </w:t>
      </w:r>
      <w:r w:rsidR="002C2F83">
        <w:rPr>
          <w:iCs/>
        </w:rPr>
        <w:t>traffic load handling at the original IAB</w:t>
      </w:r>
      <w:r w:rsidR="00271E19">
        <w:rPr>
          <w:iCs/>
        </w:rPr>
        <w:t>-</w:t>
      </w:r>
      <w:r w:rsidR="002C2F83">
        <w:rPr>
          <w:iCs/>
        </w:rPr>
        <w:t>donor</w:t>
      </w:r>
      <w:r w:rsidR="00271E19">
        <w:rPr>
          <w:iCs/>
        </w:rPr>
        <w:t>-CU</w:t>
      </w:r>
      <w:r w:rsidR="002C2F83">
        <w:rPr>
          <w:iCs/>
        </w:rPr>
        <w:t xml:space="preserve">. To reduce topology-wide signaling overhead and maintain stability of IAB network </w:t>
      </w:r>
      <w:r w:rsidR="003A7FAA">
        <w:rPr>
          <w:iCs/>
        </w:rPr>
        <w:t>for fixed IAB nodes, the original IAB</w:t>
      </w:r>
      <w:r w:rsidR="00271E19">
        <w:rPr>
          <w:iCs/>
        </w:rPr>
        <w:t>-</w:t>
      </w:r>
      <w:r w:rsidR="003A7FAA">
        <w:rPr>
          <w:iCs/>
        </w:rPr>
        <w:t>donor</w:t>
      </w:r>
      <w:r w:rsidR="00271E19">
        <w:rPr>
          <w:iCs/>
        </w:rPr>
        <w:t>-CU</w:t>
      </w:r>
      <w:r w:rsidR="003A7FAA">
        <w:rPr>
          <w:iCs/>
        </w:rPr>
        <w:t xml:space="preserve"> shall only consider </w:t>
      </w:r>
      <w:r w:rsidR="00893A35">
        <w:rPr>
          <w:iCs/>
        </w:rPr>
        <w:t>migrating</w:t>
      </w:r>
      <w:r w:rsidR="003A7FAA">
        <w:rPr>
          <w:iCs/>
        </w:rPr>
        <w:t xml:space="preserve"> traffic to another IAB</w:t>
      </w:r>
      <w:r w:rsidR="006F50D1">
        <w:rPr>
          <w:iCs/>
        </w:rPr>
        <w:t>-</w:t>
      </w:r>
      <w:r w:rsidR="003A7FAA">
        <w:rPr>
          <w:iCs/>
        </w:rPr>
        <w:t>donor</w:t>
      </w:r>
      <w:r w:rsidR="006F50D1">
        <w:rPr>
          <w:iCs/>
        </w:rPr>
        <w:t>-CU</w:t>
      </w:r>
      <w:r w:rsidR="003A7FAA">
        <w:rPr>
          <w:iCs/>
        </w:rPr>
        <w:t xml:space="preserve"> if it is overloaded. </w:t>
      </w:r>
    </w:p>
    <w:p w14:paraId="1EDC9F61" w14:textId="78AC1395" w:rsidR="00C96881" w:rsidRPr="009F7816" w:rsidRDefault="00860258" w:rsidP="0008306A">
      <w:pPr>
        <w:rPr>
          <w:iCs/>
        </w:rPr>
      </w:pPr>
      <w:r>
        <w:rPr>
          <w:iCs/>
        </w:rPr>
        <w:t>In summary, the source/original IAB</w:t>
      </w:r>
      <w:r w:rsidR="006F50D1">
        <w:rPr>
          <w:iCs/>
        </w:rPr>
        <w:t>-</w:t>
      </w:r>
      <w:r>
        <w:rPr>
          <w:iCs/>
        </w:rPr>
        <w:t>donor</w:t>
      </w:r>
      <w:r w:rsidR="006F50D1">
        <w:rPr>
          <w:iCs/>
        </w:rPr>
        <w:t>-</w:t>
      </w:r>
      <w:r>
        <w:rPr>
          <w:iCs/>
        </w:rPr>
        <w:t xml:space="preserve">CU is responsible </w:t>
      </w:r>
      <w:r w:rsidR="00600EAF">
        <w:rPr>
          <w:iCs/>
        </w:rPr>
        <w:t xml:space="preserve">to decide: 1) whether </w:t>
      </w:r>
      <w:r w:rsidR="00E33D06">
        <w:rPr>
          <w:iCs/>
        </w:rPr>
        <w:t>inter-donor topology adaptation is required for load balancing</w:t>
      </w:r>
      <w:r w:rsidR="001A4B8A">
        <w:rPr>
          <w:iCs/>
        </w:rPr>
        <w:t>; 2) whether the migrating traffic flow still terminates at the original IAB</w:t>
      </w:r>
      <w:r w:rsidR="006F50D1">
        <w:rPr>
          <w:iCs/>
        </w:rPr>
        <w:t>-</w:t>
      </w:r>
      <w:r w:rsidR="001A4B8A">
        <w:rPr>
          <w:iCs/>
        </w:rPr>
        <w:t>d</w:t>
      </w:r>
      <w:r w:rsidR="006F50D1">
        <w:rPr>
          <w:iCs/>
        </w:rPr>
        <w:t>o</w:t>
      </w:r>
      <w:r w:rsidR="001A4B8A">
        <w:rPr>
          <w:iCs/>
        </w:rPr>
        <w:t>nor</w:t>
      </w:r>
      <w:r w:rsidR="006F50D1">
        <w:rPr>
          <w:iCs/>
        </w:rPr>
        <w:t>-</w:t>
      </w:r>
      <w:r w:rsidR="001A4B8A">
        <w:rPr>
          <w:iCs/>
        </w:rPr>
        <w:t xml:space="preserve">CU. </w:t>
      </w:r>
    </w:p>
    <w:p w14:paraId="42BB1F77" w14:textId="0454A8CB" w:rsidR="006446D2" w:rsidRPr="00F54D40" w:rsidRDefault="002C3AD3" w:rsidP="00916573">
      <w:pPr>
        <w:pStyle w:val="ListParagraph"/>
        <w:numPr>
          <w:ilvl w:val="0"/>
          <w:numId w:val="24"/>
        </w:numPr>
        <w:ind w:left="0" w:firstLine="0"/>
        <w:rPr>
          <w:rFonts w:ascii="Times New Roman" w:hAnsi="Times New Roman"/>
          <w:b/>
          <w:bCs/>
          <w:sz w:val="20"/>
          <w:szCs w:val="20"/>
        </w:rPr>
      </w:pPr>
      <w:bookmarkStart w:id="6" w:name="_Ref68222817"/>
      <w:r>
        <w:rPr>
          <w:rFonts w:ascii="Times New Roman" w:hAnsi="Times New Roman"/>
          <w:b/>
          <w:bCs/>
          <w:sz w:val="20"/>
          <w:szCs w:val="20"/>
        </w:rPr>
        <w:t xml:space="preserve">For an IAB node dual-connected with two IAB-donor-CUs, </w:t>
      </w:r>
      <w:r w:rsidR="003D3DD0">
        <w:rPr>
          <w:rFonts w:ascii="Times New Roman" w:hAnsi="Times New Roman"/>
          <w:b/>
          <w:bCs/>
          <w:sz w:val="20"/>
          <w:szCs w:val="20"/>
        </w:rPr>
        <w:t xml:space="preserve">the original IAB-donor-CU decides </w:t>
      </w:r>
      <w:r w:rsidR="00916573">
        <w:rPr>
          <w:rFonts w:ascii="Times New Roman" w:hAnsi="Times New Roman"/>
          <w:b/>
          <w:bCs/>
          <w:sz w:val="20"/>
          <w:szCs w:val="20"/>
        </w:rPr>
        <w:t>inter-donor migration</w:t>
      </w:r>
      <w:r>
        <w:rPr>
          <w:rFonts w:ascii="Times New Roman" w:hAnsi="Times New Roman"/>
          <w:b/>
          <w:bCs/>
          <w:sz w:val="20"/>
          <w:szCs w:val="20"/>
        </w:rPr>
        <w:t xml:space="preserve"> </w:t>
      </w:r>
      <w:r w:rsidR="00E50D29">
        <w:rPr>
          <w:rFonts w:ascii="Times New Roman" w:hAnsi="Times New Roman"/>
          <w:b/>
          <w:bCs/>
          <w:sz w:val="20"/>
          <w:szCs w:val="20"/>
        </w:rPr>
        <w:t>for</w:t>
      </w:r>
      <w:r w:rsidR="00916573">
        <w:rPr>
          <w:rFonts w:ascii="Times New Roman" w:hAnsi="Times New Roman"/>
          <w:b/>
          <w:bCs/>
          <w:sz w:val="20"/>
          <w:szCs w:val="20"/>
        </w:rPr>
        <w:t xml:space="preserve"> </w:t>
      </w:r>
      <w:r w:rsidR="004F2A8C">
        <w:rPr>
          <w:rFonts w:ascii="Times New Roman" w:hAnsi="Times New Roman"/>
          <w:b/>
          <w:bCs/>
          <w:sz w:val="20"/>
          <w:szCs w:val="20"/>
        </w:rPr>
        <w:t xml:space="preserve">load balancing </w:t>
      </w:r>
      <w:r w:rsidR="00A45B37">
        <w:rPr>
          <w:rFonts w:ascii="Times New Roman" w:hAnsi="Times New Roman"/>
          <w:b/>
          <w:bCs/>
          <w:sz w:val="20"/>
          <w:szCs w:val="20"/>
        </w:rPr>
        <w:t>only when the original IAB-donor-CU is overloaded</w:t>
      </w:r>
      <w:r w:rsidR="006446D2" w:rsidRPr="19A8F3A7">
        <w:rPr>
          <w:rFonts w:ascii="Times New Roman" w:hAnsi="Times New Roman"/>
          <w:b/>
          <w:bCs/>
          <w:sz w:val="20"/>
          <w:szCs w:val="20"/>
        </w:rPr>
        <w:t>.</w:t>
      </w:r>
      <w:r w:rsidR="004F2A8C">
        <w:rPr>
          <w:rFonts w:ascii="Times New Roman" w:hAnsi="Times New Roman"/>
          <w:b/>
          <w:bCs/>
          <w:sz w:val="20"/>
          <w:szCs w:val="20"/>
        </w:rPr>
        <w:t xml:space="preserve"> Local rerouting is not considered</w:t>
      </w:r>
      <w:r w:rsidR="00C96881">
        <w:rPr>
          <w:rFonts w:ascii="Times New Roman" w:hAnsi="Times New Roman"/>
          <w:b/>
          <w:bCs/>
          <w:sz w:val="20"/>
          <w:szCs w:val="20"/>
        </w:rPr>
        <w:t>.</w:t>
      </w:r>
      <w:bookmarkEnd w:id="6"/>
    </w:p>
    <w:p w14:paraId="5D079F06" w14:textId="77777777" w:rsidR="004E0304" w:rsidRDefault="004E0304" w:rsidP="004E0304">
      <w:pPr>
        <w:pStyle w:val="Heading1"/>
      </w:pPr>
      <w:r>
        <w:t>Conclusion</w:t>
      </w:r>
    </w:p>
    <w:p w14:paraId="0EC195E9" w14:textId="77777777" w:rsidR="0036178B" w:rsidRDefault="002472E2" w:rsidP="006446D2">
      <w:r>
        <w:t>In this contribution</w:t>
      </w:r>
      <w:r w:rsidR="008006B2">
        <w:t>,</w:t>
      </w:r>
      <w:r>
        <w:t xml:space="preserve"> we</w:t>
      </w:r>
      <w:r w:rsidR="008006B2">
        <w:t xml:space="preserve"> analyzed </w:t>
      </w:r>
      <w:r w:rsidR="00FE4236">
        <w:t xml:space="preserve">use cases of </w:t>
      </w:r>
      <w:r w:rsidR="00F27578">
        <w:t xml:space="preserve">inter-donor migration </w:t>
      </w:r>
      <w:r w:rsidR="001518D1">
        <w:t xml:space="preserve">for single-connected IAB node and </w:t>
      </w:r>
      <w:r w:rsidR="00036E69">
        <w:t xml:space="preserve">dual-connected IAB node. </w:t>
      </w:r>
      <w:r w:rsidR="000C1B7D">
        <w:t>For dual-connected IAB node</w:t>
      </w:r>
      <w:r w:rsidR="006030BF">
        <w:t xml:space="preserve"> </w:t>
      </w:r>
      <w:r w:rsidR="005C3093">
        <w:t xml:space="preserve">with topology redundancy supported, we further discuss </w:t>
      </w:r>
      <w:r w:rsidR="00430EA6">
        <w:t xml:space="preserve">IAB </w:t>
      </w:r>
      <w:r w:rsidR="00430EA6">
        <w:lastRenderedPageBreak/>
        <w:t xml:space="preserve">behavior of triggering/receiving type-2 and type-4 RLF indication. In the end, we </w:t>
      </w:r>
      <w:r w:rsidR="005F05E6">
        <w:t xml:space="preserve">discussed the </w:t>
      </w:r>
      <w:r w:rsidR="00D86542">
        <w:t>role of IA</w:t>
      </w:r>
      <w:r w:rsidR="00C512A8">
        <w:t xml:space="preserve">B-donor-CU </w:t>
      </w:r>
      <w:r w:rsidR="008459CE">
        <w:t>when load balancing is considered in</w:t>
      </w:r>
      <w:r w:rsidR="0036178B">
        <w:t xml:space="preserve"> the scenario of topology redundancy.</w:t>
      </w:r>
    </w:p>
    <w:p w14:paraId="2901D93D" w14:textId="77777777" w:rsidR="0036178B" w:rsidRDefault="0036178B" w:rsidP="006446D2">
      <w:r>
        <w:t>We propose following observations and proposals:</w:t>
      </w:r>
    </w:p>
    <w:p w14:paraId="64BF9449" w14:textId="7B38F86C" w:rsidR="0036178B" w:rsidRPr="00123CEF" w:rsidRDefault="0036178B" w:rsidP="006446D2">
      <w:pPr>
        <w:rPr>
          <w:b/>
          <w:bCs/>
        </w:rPr>
      </w:pPr>
      <w:r w:rsidRPr="00123CEF">
        <w:rPr>
          <w:b/>
          <w:bCs/>
        </w:rPr>
        <w:fldChar w:fldCharType="begin"/>
      </w:r>
      <w:r w:rsidRPr="00123CEF">
        <w:rPr>
          <w:b/>
          <w:bCs/>
        </w:rPr>
        <w:instrText xml:space="preserve"> REF _Ref68222781 \w \h </w:instrText>
      </w:r>
      <w:r>
        <w:rPr>
          <w:b/>
          <w:bCs/>
        </w:rPr>
        <w:instrText xml:space="preserve"> \* MERGEFORMAT </w:instrText>
      </w:r>
      <w:r w:rsidRPr="00123CEF">
        <w:rPr>
          <w:b/>
          <w:bCs/>
        </w:rPr>
      </w:r>
      <w:r w:rsidRPr="00123CEF">
        <w:rPr>
          <w:b/>
          <w:bCs/>
        </w:rPr>
        <w:fldChar w:fldCharType="separate"/>
      </w:r>
      <w:r w:rsidRPr="00123CEF">
        <w:rPr>
          <w:b/>
          <w:bCs/>
        </w:rPr>
        <w:t>Proposal 1:</w:t>
      </w:r>
      <w:r w:rsidRPr="00123CEF">
        <w:rPr>
          <w:b/>
          <w:bCs/>
        </w:rPr>
        <w:fldChar w:fldCharType="end"/>
      </w:r>
      <w:r w:rsidRPr="00123CEF">
        <w:rPr>
          <w:b/>
          <w:bCs/>
        </w:rPr>
        <w:fldChar w:fldCharType="begin"/>
      </w:r>
      <w:r w:rsidRPr="00123CEF">
        <w:rPr>
          <w:b/>
          <w:bCs/>
        </w:rPr>
        <w:instrText xml:space="preserve"> REF _Ref68222781 \h </w:instrText>
      </w:r>
      <w:r>
        <w:rPr>
          <w:b/>
          <w:bCs/>
        </w:rPr>
        <w:instrText xml:space="preserve"> \* MERGEFORMAT </w:instrText>
      </w:r>
      <w:r w:rsidRPr="00123CEF">
        <w:rPr>
          <w:b/>
          <w:bCs/>
        </w:rPr>
      </w:r>
      <w:r w:rsidRPr="00123CEF">
        <w:rPr>
          <w:b/>
          <w:bCs/>
        </w:rPr>
        <w:fldChar w:fldCharType="separate"/>
      </w:r>
      <w:r w:rsidR="00DE3919">
        <w:rPr>
          <w:b/>
          <w:bCs/>
        </w:rPr>
        <w:t>For single-connected IAB node, inter-donor migration only takes place when the IAB node is experiencing radio link failure and trying to recover, and not for purpose of load balancing</w:t>
      </w:r>
      <w:r w:rsidR="00DE3919" w:rsidRPr="19A8F3A7">
        <w:rPr>
          <w:b/>
          <w:bCs/>
        </w:rPr>
        <w:t>.</w:t>
      </w:r>
      <w:r w:rsidRPr="00123CEF">
        <w:rPr>
          <w:b/>
          <w:bCs/>
        </w:rPr>
        <w:fldChar w:fldCharType="end"/>
      </w:r>
    </w:p>
    <w:p w14:paraId="742D5147" w14:textId="0677ACA3" w:rsidR="0036178B" w:rsidRPr="00123CEF" w:rsidRDefault="0036178B" w:rsidP="006446D2">
      <w:pPr>
        <w:rPr>
          <w:b/>
          <w:bCs/>
        </w:rPr>
      </w:pPr>
      <w:r w:rsidRPr="00123CEF">
        <w:rPr>
          <w:b/>
          <w:bCs/>
        </w:rPr>
        <w:fldChar w:fldCharType="begin"/>
      </w:r>
      <w:r w:rsidRPr="00123CEF">
        <w:rPr>
          <w:b/>
          <w:bCs/>
        </w:rPr>
        <w:instrText xml:space="preserve"> REF _Ref68222787 \w \h </w:instrText>
      </w:r>
      <w:r>
        <w:rPr>
          <w:b/>
          <w:bCs/>
        </w:rPr>
        <w:instrText xml:space="preserve"> \* MERGEFORMAT </w:instrText>
      </w:r>
      <w:r w:rsidRPr="00123CEF">
        <w:rPr>
          <w:b/>
          <w:bCs/>
        </w:rPr>
      </w:r>
      <w:r w:rsidRPr="00123CEF">
        <w:rPr>
          <w:b/>
          <w:bCs/>
        </w:rPr>
        <w:fldChar w:fldCharType="separate"/>
      </w:r>
      <w:r w:rsidRPr="00123CEF">
        <w:rPr>
          <w:b/>
          <w:bCs/>
        </w:rPr>
        <w:t>Observation 1:</w:t>
      </w:r>
      <w:r w:rsidRPr="00123CEF">
        <w:rPr>
          <w:b/>
          <w:bCs/>
        </w:rPr>
        <w:fldChar w:fldCharType="end"/>
      </w:r>
      <w:r w:rsidRPr="00123CEF">
        <w:rPr>
          <w:b/>
          <w:bCs/>
        </w:rPr>
        <w:fldChar w:fldCharType="begin"/>
      </w:r>
      <w:r w:rsidRPr="00123CEF">
        <w:rPr>
          <w:b/>
          <w:bCs/>
        </w:rPr>
        <w:instrText xml:space="preserve"> REF _Ref68222787 \h </w:instrText>
      </w:r>
      <w:r>
        <w:rPr>
          <w:b/>
          <w:bCs/>
        </w:rPr>
        <w:instrText xml:space="preserve"> \* MERGEFORMAT </w:instrText>
      </w:r>
      <w:r w:rsidRPr="00123CEF">
        <w:rPr>
          <w:b/>
          <w:bCs/>
        </w:rPr>
      </w:r>
      <w:r w:rsidRPr="00123CEF">
        <w:rPr>
          <w:b/>
          <w:bCs/>
        </w:rPr>
        <w:fldChar w:fldCharType="separate"/>
      </w:r>
      <w:r w:rsidR="00DE3919">
        <w:rPr>
          <w:b/>
          <w:bCs/>
        </w:rPr>
        <w:t>For single-connected IAB node, RAN3 agrees that the migrating IAB node and its descendant nodes/UEs may keep its connection to source IAB-donor-CU after inter-donor migration.</w:t>
      </w:r>
      <w:r w:rsidRPr="00123CEF">
        <w:rPr>
          <w:b/>
          <w:bCs/>
        </w:rPr>
        <w:fldChar w:fldCharType="end"/>
      </w:r>
    </w:p>
    <w:p w14:paraId="0DD8F55B" w14:textId="4764A747" w:rsidR="0036178B" w:rsidRPr="00123CEF" w:rsidRDefault="0036178B" w:rsidP="006446D2">
      <w:pPr>
        <w:rPr>
          <w:b/>
          <w:bCs/>
        </w:rPr>
      </w:pPr>
      <w:r w:rsidRPr="00123CEF">
        <w:rPr>
          <w:b/>
          <w:bCs/>
        </w:rPr>
        <w:fldChar w:fldCharType="begin"/>
      </w:r>
      <w:r w:rsidRPr="00123CEF">
        <w:rPr>
          <w:b/>
          <w:bCs/>
        </w:rPr>
        <w:instrText xml:space="preserve"> REF _Ref68222793 \w \h </w:instrText>
      </w:r>
      <w:r>
        <w:rPr>
          <w:b/>
          <w:bCs/>
        </w:rPr>
        <w:instrText xml:space="preserve"> \* MERGEFORMAT </w:instrText>
      </w:r>
      <w:r w:rsidRPr="00123CEF">
        <w:rPr>
          <w:b/>
          <w:bCs/>
        </w:rPr>
      </w:r>
      <w:r w:rsidRPr="00123CEF">
        <w:rPr>
          <w:b/>
          <w:bCs/>
        </w:rPr>
        <w:fldChar w:fldCharType="separate"/>
      </w:r>
      <w:r w:rsidRPr="00123CEF">
        <w:rPr>
          <w:b/>
          <w:bCs/>
        </w:rPr>
        <w:t>Proposal 2:</w:t>
      </w:r>
      <w:r w:rsidRPr="00123CEF">
        <w:rPr>
          <w:b/>
          <w:bCs/>
        </w:rPr>
        <w:fldChar w:fldCharType="end"/>
      </w:r>
      <w:r w:rsidRPr="00123CEF">
        <w:rPr>
          <w:b/>
          <w:bCs/>
        </w:rPr>
        <w:fldChar w:fldCharType="begin"/>
      </w:r>
      <w:r w:rsidRPr="00123CEF">
        <w:rPr>
          <w:b/>
          <w:bCs/>
        </w:rPr>
        <w:instrText xml:space="preserve"> REF _Ref68222793 \h </w:instrText>
      </w:r>
      <w:r>
        <w:rPr>
          <w:b/>
          <w:bCs/>
        </w:rPr>
        <w:instrText xml:space="preserve"> \* MERGEFORMAT </w:instrText>
      </w:r>
      <w:r w:rsidRPr="00123CEF">
        <w:rPr>
          <w:b/>
          <w:bCs/>
        </w:rPr>
      </w:r>
      <w:r w:rsidRPr="00123CEF">
        <w:rPr>
          <w:b/>
          <w:bCs/>
        </w:rPr>
        <w:fldChar w:fldCharType="separate"/>
      </w:r>
      <w:r w:rsidR="00DE3919" w:rsidRPr="00123CEF">
        <w:rPr>
          <w:b/>
          <w:bCs/>
          <w:lang w:val="en-GB"/>
        </w:rPr>
        <w:t>D</w:t>
      </w:r>
      <w:r w:rsidR="00DE3919" w:rsidRPr="00DE3919">
        <w:rPr>
          <w:b/>
          <w:bCs/>
          <w:lang w:val="en-GB"/>
        </w:rPr>
        <w:t>ual-connected</w:t>
      </w:r>
      <w:r w:rsidR="00DE3919" w:rsidRPr="00123CEF">
        <w:rPr>
          <w:b/>
          <w:bCs/>
        </w:rPr>
        <w:t xml:space="preserve"> migrating IAB node and its descendant nodes/UEs may keep its connection to source IAB-donor-CU after inter-donor migration. Enhancement to NR-DC to support this scenario is FFS.</w:t>
      </w:r>
      <w:r w:rsidRPr="00123CEF">
        <w:rPr>
          <w:b/>
          <w:bCs/>
        </w:rPr>
        <w:fldChar w:fldCharType="end"/>
      </w:r>
    </w:p>
    <w:p w14:paraId="3506050D" w14:textId="6594FC54" w:rsidR="0036178B" w:rsidRPr="00123CEF" w:rsidRDefault="0036178B" w:rsidP="006446D2">
      <w:pPr>
        <w:rPr>
          <w:b/>
          <w:bCs/>
        </w:rPr>
      </w:pPr>
      <w:r w:rsidRPr="00123CEF">
        <w:rPr>
          <w:b/>
          <w:bCs/>
        </w:rPr>
        <w:fldChar w:fldCharType="begin"/>
      </w:r>
      <w:r w:rsidRPr="00123CEF">
        <w:rPr>
          <w:b/>
          <w:bCs/>
        </w:rPr>
        <w:instrText xml:space="preserve"> REF _Ref68222799 \w \h </w:instrText>
      </w:r>
      <w:r>
        <w:rPr>
          <w:b/>
          <w:bCs/>
        </w:rPr>
        <w:instrText xml:space="preserve"> \* MERGEFORMAT </w:instrText>
      </w:r>
      <w:r w:rsidRPr="00123CEF">
        <w:rPr>
          <w:b/>
          <w:bCs/>
        </w:rPr>
      </w:r>
      <w:r w:rsidRPr="00123CEF">
        <w:rPr>
          <w:b/>
          <w:bCs/>
        </w:rPr>
        <w:fldChar w:fldCharType="separate"/>
      </w:r>
      <w:r w:rsidRPr="00123CEF">
        <w:rPr>
          <w:b/>
          <w:bCs/>
        </w:rPr>
        <w:t>Proposal 3:</w:t>
      </w:r>
      <w:r w:rsidRPr="00123CEF">
        <w:rPr>
          <w:b/>
          <w:bCs/>
        </w:rPr>
        <w:fldChar w:fldCharType="end"/>
      </w:r>
      <w:r w:rsidRPr="00123CEF">
        <w:rPr>
          <w:b/>
          <w:bCs/>
        </w:rPr>
        <w:fldChar w:fldCharType="begin"/>
      </w:r>
      <w:r w:rsidRPr="00123CEF">
        <w:rPr>
          <w:b/>
          <w:bCs/>
        </w:rPr>
        <w:instrText xml:space="preserve"> REF _Ref68222799 \h </w:instrText>
      </w:r>
      <w:r>
        <w:rPr>
          <w:b/>
          <w:bCs/>
        </w:rPr>
        <w:instrText xml:space="preserve"> \* MERGEFORMAT </w:instrText>
      </w:r>
      <w:r w:rsidRPr="00123CEF">
        <w:rPr>
          <w:b/>
          <w:bCs/>
        </w:rPr>
      </w:r>
      <w:r w:rsidRPr="00123CEF">
        <w:rPr>
          <w:b/>
          <w:bCs/>
        </w:rPr>
        <w:fldChar w:fldCharType="separate"/>
      </w:r>
      <w:r w:rsidR="00DE3919">
        <w:rPr>
          <w:b/>
          <w:bCs/>
        </w:rPr>
        <w:t>For an IAB node dual-connected with two IAB-donor-CUs, type-4 RLF indication is triggered only if both links failed to recover</w:t>
      </w:r>
      <w:r w:rsidR="00DE3919" w:rsidRPr="19A8F3A7">
        <w:rPr>
          <w:b/>
          <w:bCs/>
        </w:rPr>
        <w:t>.</w:t>
      </w:r>
      <w:r w:rsidRPr="00123CEF">
        <w:rPr>
          <w:b/>
          <w:bCs/>
        </w:rPr>
        <w:fldChar w:fldCharType="end"/>
      </w:r>
    </w:p>
    <w:p w14:paraId="71634167" w14:textId="45CA5AD1" w:rsidR="0036178B" w:rsidRPr="00123CEF" w:rsidRDefault="0036178B" w:rsidP="006446D2">
      <w:pPr>
        <w:rPr>
          <w:b/>
          <w:bCs/>
        </w:rPr>
      </w:pPr>
      <w:r w:rsidRPr="00123CEF">
        <w:rPr>
          <w:b/>
          <w:bCs/>
        </w:rPr>
        <w:fldChar w:fldCharType="begin"/>
      </w:r>
      <w:r w:rsidRPr="00123CEF">
        <w:rPr>
          <w:b/>
          <w:bCs/>
        </w:rPr>
        <w:instrText xml:space="preserve"> REF _Ref68222804 \w \h </w:instrText>
      </w:r>
      <w:r>
        <w:rPr>
          <w:b/>
          <w:bCs/>
        </w:rPr>
        <w:instrText xml:space="preserve"> \* MERGEFORMAT </w:instrText>
      </w:r>
      <w:r w:rsidRPr="00123CEF">
        <w:rPr>
          <w:b/>
          <w:bCs/>
        </w:rPr>
      </w:r>
      <w:r w:rsidRPr="00123CEF">
        <w:rPr>
          <w:b/>
          <w:bCs/>
        </w:rPr>
        <w:fldChar w:fldCharType="separate"/>
      </w:r>
      <w:r w:rsidRPr="00123CEF">
        <w:rPr>
          <w:b/>
          <w:bCs/>
        </w:rPr>
        <w:t>Proposal 4:</w:t>
      </w:r>
      <w:r w:rsidRPr="00123CEF">
        <w:rPr>
          <w:b/>
          <w:bCs/>
        </w:rPr>
        <w:fldChar w:fldCharType="end"/>
      </w:r>
      <w:r w:rsidRPr="00123CEF">
        <w:rPr>
          <w:b/>
          <w:bCs/>
        </w:rPr>
        <w:fldChar w:fldCharType="begin"/>
      </w:r>
      <w:r w:rsidRPr="00123CEF">
        <w:rPr>
          <w:b/>
          <w:bCs/>
        </w:rPr>
        <w:instrText xml:space="preserve"> REF _Ref68222804 \h </w:instrText>
      </w:r>
      <w:r>
        <w:rPr>
          <w:b/>
          <w:bCs/>
        </w:rPr>
        <w:instrText xml:space="preserve"> \* MERGEFORMAT </w:instrText>
      </w:r>
      <w:r w:rsidRPr="00123CEF">
        <w:rPr>
          <w:b/>
          <w:bCs/>
        </w:rPr>
      </w:r>
      <w:r w:rsidRPr="00123CEF">
        <w:rPr>
          <w:b/>
          <w:bCs/>
        </w:rPr>
        <w:fldChar w:fldCharType="separate"/>
      </w:r>
      <w:r w:rsidRPr="00123CEF">
        <w:rPr>
          <w:b/>
          <w:bCs/>
        </w:rPr>
        <w:t>For an IAB node dual-connected with two IAB-donor-CUs, type-2 RLF indication is not used to trigger local rerouting.</w:t>
      </w:r>
      <w:r w:rsidRPr="00123CEF">
        <w:rPr>
          <w:b/>
          <w:bCs/>
        </w:rPr>
        <w:fldChar w:fldCharType="end"/>
      </w:r>
    </w:p>
    <w:p w14:paraId="7831B4DA" w14:textId="5D65AEDE" w:rsidR="0036178B" w:rsidRPr="00795ED0" w:rsidRDefault="0036178B" w:rsidP="006446D2">
      <w:pPr>
        <w:rPr>
          <w:b/>
          <w:bCs/>
        </w:rPr>
      </w:pPr>
      <w:r w:rsidRPr="00795ED0">
        <w:rPr>
          <w:b/>
          <w:bCs/>
        </w:rPr>
        <w:fldChar w:fldCharType="begin"/>
      </w:r>
      <w:r w:rsidRPr="00795ED0">
        <w:rPr>
          <w:b/>
          <w:bCs/>
        </w:rPr>
        <w:instrText xml:space="preserve"> REF _Ref68222810 \w \h </w:instrText>
      </w:r>
      <w:r>
        <w:rPr>
          <w:b/>
          <w:bCs/>
        </w:rPr>
        <w:instrText xml:space="preserve"> \* MERGEFORMAT </w:instrText>
      </w:r>
      <w:r w:rsidRPr="00795ED0">
        <w:rPr>
          <w:b/>
          <w:bCs/>
        </w:rPr>
      </w:r>
      <w:r w:rsidRPr="00795ED0">
        <w:rPr>
          <w:b/>
          <w:bCs/>
        </w:rPr>
        <w:fldChar w:fldCharType="separate"/>
      </w:r>
      <w:r w:rsidR="00795ED0">
        <w:rPr>
          <w:b/>
          <w:bCs/>
        </w:rPr>
        <w:t>Proposal 5:</w:t>
      </w:r>
      <w:r w:rsidRPr="00795ED0">
        <w:rPr>
          <w:b/>
          <w:bCs/>
        </w:rPr>
        <w:fldChar w:fldCharType="end"/>
      </w:r>
      <w:r w:rsidRPr="00795ED0">
        <w:rPr>
          <w:b/>
          <w:bCs/>
        </w:rPr>
        <w:fldChar w:fldCharType="begin"/>
      </w:r>
      <w:r w:rsidRPr="00795ED0">
        <w:rPr>
          <w:b/>
          <w:bCs/>
        </w:rPr>
        <w:instrText xml:space="preserve"> REF _Ref68222810 \h </w:instrText>
      </w:r>
      <w:r>
        <w:rPr>
          <w:b/>
          <w:bCs/>
        </w:rPr>
        <w:instrText xml:space="preserve"> \* MERGEFORMAT </w:instrText>
      </w:r>
      <w:r w:rsidRPr="00795ED0">
        <w:rPr>
          <w:b/>
          <w:bCs/>
        </w:rPr>
      </w:r>
      <w:r w:rsidRPr="00795ED0">
        <w:rPr>
          <w:b/>
          <w:bCs/>
        </w:rPr>
        <w:fldChar w:fldCharType="separate"/>
      </w:r>
      <w:r w:rsidR="00795ED0">
        <w:rPr>
          <w:b/>
          <w:bCs/>
        </w:rPr>
        <w:t>For an IAB node dual-connected with two IAB-donor-CUs, boundary IAB node can send type-2 RLF indication to its child node(s) if one of the links are experiencing and recovering from RLF</w:t>
      </w:r>
      <w:r w:rsidR="00795ED0" w:rsidRPr="19A8F3A7">
        <w:rPr>
          <w:b/>
          <w:bCs/>
        </w:rPr>
        <w:t>.</w:t>
      </w:r>
      <w:r w:rsidRPr="00795ED0">
        <w:rPr>
          <w:b/>
          <w:bCs/>
        </w:rPr>
        <w:fldChar w:fldCharType="end"/>
      </w:r>
    </w:p>
    <w:p w14:paraId="06A8177E" w14:textId="360438CA" w:rsidR="00E14531" w:rsidRPr="00123CEF" w:rsidRDefault="0036178B" w:rsidP="00C65E11">
      <w:pPr>
        <w:rPr>
          <w:b/>
          <w:bCs/>
          <w:lang w:eastAsia="zh-CN"/>
        </w:rPr>
      </w:pPr>
      <w:r w:rsidRPr="00123CEF">
        <w:rPr>
          <w:b/>
          <w:bCs/>
        </w:rPr>
        <w:fldChar w:fldCharType="begin"/>
      </w:r>
      <w:r w:rsidRPr="00123CEF">
        <w:rPr>
          <w:b/>
          <w:bCs/>
        </w:rPr>
        <w:instrText xml:space="preserve"> REF _Ref68222817 \w \h </w:instrText>
      </w:r>
      <w:r>
        <w:rPr>
          <w:b/>
          <w:bCs/>
        </w:rPr>
        <w:instrText xml:space="preserve"> \* MERGEFORMAT </w:instrText>
      </w:r>
      <w:r w:rsidRPr="00123CEF">
        <w:rPr>
          <w:b/>
          <w:bCs/>
        </w:rPr>
      </w:r>
      <w:r w:rsidRPr="00123CEF">
        <w:rPr>
          <w:b/>
          <w:bCs/>
        </w:rPr>
        <w:fldChar w:fldCharType="separate"/>
      </w:r>
      <w:r w:rsidRPr="00123CEF">
        <w:rPr>
          <w:b/>
          <w:bCs/>
        </w:rPr>
        <w:t>Proposal 6:</w:t>
      </w:r>
      <w:r w:rsidRPr="00123CEF">
        <w:rPr>
          <w:b/>
          <w:bCs/>
        </w:rPr>
        <w:fldChar w:fldCharType="end"/>
      </w:r>
      <w:r w:rsidRPr="00123CEF">
        <w:rPr>
          <w:b/>
          <w:bCs/>
        </w:rPr>
        <w:fldChar w:fldCharType="begin"/>
      </w:r>
      <w:r w:rsidRPr="00123CEF">
        <w:rPr>
          <w:b/>
          <w:bCs/>
        </w:rPr>
        <w:instrText xml:space="preserve"> REF _Ref68222817 \h </w:instrText>
      </w:r>
      <w:r>
        <w:rPr>
          <w:b/>
          <w:bCs/>
        </w:rPr>
        <w:instrText xml:space="preserve"> \* MERGEFORMAT </w:instrText>
      </w:r>
      <w:r w:rsidRPr="00123CEF">
        <w:rPr>
          <w:b/>
          <w:bCs/>
        </w:rPr>
      </w:r>
      <w:r w:rsidRPr="00123CEF">
        <w:rPr>
          <w:b/>
          <w:bCs/>
        </w:rPr>
        <w:fldChar w:fldCharType="separate"/>
      </w:r>
      <w:r w:rsidRPr="00123CEF">
        <w:rPr>
          <w:b/>
          <w:bCs/>
        </w:rPr>
        <w:t>For an IAB node dual-connected with two IAB-donor-CUs, the original IAB-donor-CU decides inter-donor migration for load balancing only when the original IAB-donor-CU is overloaded. Local rerouting is not considered.</w:t>
      </w:r>
      <w:r w:rsidRPr="00123CEF">
        <w:rPr>
          <w:b/>
          <w:bCs/>
        </w:rPr>
        <w:fldChar w:fldCharType="end"/>
      </w:r>
    </w:p>
    <w:p w14:paraId="3240CC6A" w14:textId="77777777" w:rsidR="00E14531" w:rsidRPr="005E43A7" w:rsidRDefault="00E14531" w:rsidP="00E14531">
      <w:pPr>
        <w:pStyle w:val="Heading1"/>
      </w:pPr>
      <w:r>
        <w:t>References</w:t>
      </w:r>
    </w:p>
    <w:p w14:paraId="5F4A78C7" w14:textId="77777777" w:rsidR="001434A2" w:rsidRPr="006446D2" w:rsidRDefault="001434A2" w:rsidP="001434A2">
      <w:pPr>
        <w:pStyle w:val="ListParagraph"/>
        <w:numPr>
          <w:ilvl w:val="0"/>
          <w:numId w:val="2"/>
        </w:numPr>
        <w:rPr>
          <w:rFonts w:ascii="Times New Roman" w:hAnsi="Times New Roman"/>
          <w:sz w:val="20"/>
          <w:szCs w:val="20"/>
        </w:rPr>
      </w:pPr>
      <w:bookmarkStart w:id="7" w:name="_Ref68174370"/>
      <w:r>
        <w:rPr>
          <w:rFonts w:ascii="Times New Roman" w:hAnsi="Times New Roman"/>
          <w:sz w:val="20"/>
          <w:szCs w:val="20"/>
        </w:rPr>
        <w:t>R3-211331, LS on inter-donor topology redundancy, RAN3</w:t>
      </w:r>
      <w:bookmarkEnd w:id="7"/>
    </w:p>
    <w:p w14:paraId="7AEEC0D1" w14:textId="04052612" w:rsidR="006446D2" w:rsidRPr="006446D2" w:rsidRDefault="00343FF4" w:rsidP="006446D2">
      <w:pPr>
        <w:pStyle w:val="ListParagraph"/>
        <w:numPr>
          <w:ilvl w:val="0"/>
          <w:numId w:val="2"/>
        </w:numPr>
        <w:rPr>
          <w:rFonts w:ascii="Times New Roman" w:hAnsi="Times New Roman"/>
          <w:sz w:val="20"/>
          <w:szCs w:val="20"/>
        </w:rPr>
      </w:pPr>
      <w:bookmarkStart w:id="8" w:name="_Ref68174539"/>
      <w:r>
        <w:rPr>
          <w:rFonts w:ascii="Times New Roman" w:hAnsi="Times New Roman"/>
          <w:sz w:val="20"/>
          <w:szCs w:val="20"/>
        </w:rPr>
        <w:t xml:space="preserve">R2-2102844, </w:t>
      </w:r>
      <w:r w:rsidR="004904B1" w:rsidRPr="004904B1">
        <w:rPr>
          <w:rFonts w:ascii="Times New Roman" w:hAnsi="Times New Roman"/>
          <w:sz w:val="20"/>
          <w:szCs w:val="20"/>
        </w:rPr>
        <w:t>Discussion on DAPS-like solution for IAB</w:t>
      </w:r>
      <w:r w:rsidR="004904B1">
        <w:rPr>
          <w:rFonts w:ascii="Times New Roman" w:hAnsi="Times New Roman"/>
          <w:sz w:val="20"/>
          <w:szCs w:val="20"/>
        </w:rPr>
        <w:t>, Intel</w:t>
      </w:r>
      <w:bookmarkEnd w:id="8"/>
    </w:p>
    <w:p w14:paraId="52B4FA46" w14:textId="65DBD704" w:rsidR="004B53D6" w:rsidRPr="006446D2" w:rsidRDefault="00682336" w:rsidP="006446D2">
      <w:pPr>
        <w:pStyle w:val="ListParagraph"/>
        <w:numPr>
          <w:ilvl w:val="0"/>
          <w:numId w:val="2"/>
        </w:numPr>
        <w:rPr>
          <w:rFonts w:ascii="Times New Roman" w:hAnsi="Times New Roman"/>
          <w:sz w:val="20"/>
          <w:szCs w:val="20"/>
        </w:rPr>
      </w:pPr>
      <w:bookmarkStart w:id="9" w:name="_Ref68220622"/>
      <w:r>
        <w:rPr>
          <w:rFonts w:ascii="Times New Roman" w:hAnsi="Times New Roman"/>
          <w:sz w:val="20"/>
          <w:szCs w:val="20"/>
        </w:rPr>
        <w:t>R2-21</w:t>
      </w:r>
      <w:r w:rsidR="00DF3ADD">
        <w:rPr>
          <w:rFonts w:ascii="Times New Roman" w:hAnsi="Times New Roman"/>
          <w:sz w:val="20"/>
          <w:szCs w:val="20"/>
        </w:rPr>
        <w:t xml:space="preserve">02834, </w:t>
      </w:r>
      <w:r w:rsidR="000C1883" w:rsidRPr="000C1883">
        <w:rPr>
          <w:rFonts w:ascii="Times New Roman" w:hAnsi="Times New Roman"/>
          <w:sz w:val="20"/>
          <w:szCs w:val="20"/>
        </w:rPr>
        <w:t>Intra-donor CHO, local rerouting and RLF indication enhancement</w:t>
      </w:r>
      <w:r w:rsidR="000C1883">
        <w:rPr>
          <w:rFonts w:ascii="Times New Roman" w:hAnsi="Times New Roman"/>
          <w:sz w:val="20"/>
          <w:szCs w:val="20"/>
        </w:rPr>
        <w:t>, Intel</w:t>
      </w:r>
      <w:bookmarkEnd w:id="9"/>
    </w:p>
    <w:sectPr w:rsidR="004B53D6" w:rsidRPr="006446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CE379" w14:textId="77777777" w:rsidR="00D2027B" w:rsidRDefault="00D2027B" w:rsidP="007E56C9">
      <w:pPr>
        <w:spacing w:after="0"/>
      </w:pPr>
      <w:r>
        <w:separator/>
      </w:r>
    </w:p>
  </w:endnote>
  <w:endnote w:type="continuationSeparator" w:id="0">
    <w:p w14:paraId="466D856F" w14:textId="77777777" w:rsidR="00D2027B" w:rsidRDefault="00D2027B" w:rsidP="007E56C9">
      <w:pPr>
        <w:spacing w:after="0"/>
      </w:pPr>
      <w:r>
        <w:continuationSeparator/>
      </w:r>
    </w:p>
  </w:endnote>
  <w:endnote w:type="continuationNotice" w:id="1">
    <w:p w14:paraId="377694E5" w14:textId="77777777" w:rsidR="00D2027B" w:rsidRDefault="00D20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4506F" w14:textId="77777777" w:rsidR="00D2027B" w:rsidRDefault="00D2027B" w:rsidP="007E56C9">
      <w:pPr>
        <w:spacing w:after="0"/>
      </w:pPr>
      <w:r>
        <w:separator/>
      </w:r>
    </w:p>
  </w:footnote>
  <w:footnote w:type="continuationSeparator" w:id="0">
    <w:p w14:paraId="54727389" w14:textId="77777777" w:rsidR="00D2027B" w:rsidRDefault="00D2027B" w:rsidP="007E56C9">
      <w:pPr>
        <w:spacing w:after="0"/>
      </w:pPr>
      <w:r>
        <w:continuationSeparator/>
      </w:r>
    </w:p>
  </w:footnote>
  <w:footnote w:type="continuationNotice" w:id="1">
    <w:p w14:paraId="07CC138D" w14:textId="77777777" w:rsidR="00D2027B" w:rsidRDefault="00D202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3584A"/>
    <w:multiLevelType w:val="hybridMultilevel"/>
    <w:tmpl w:val="A008BA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B04C2"/>
    <w:multiLevelType w:val="hybridMultilevel"/>
    <w:tmpl w:val="6304FF3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A4036"/>
    <w:multiLevelType w:val="hybridMultilevel"/>
    <w:tmpl w:val="335A7DC8"/>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E7BE8"/>
    <w:multiLevelType w:val="hybridMultilevel"/>
    <w:tmpl w:val="8AC6636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27A77"/>
    <w:multiLevelType w:val="hybridMultilevel"/>
    <w:tmpl w:val="0E10E0B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95A2895"/>
    <w:multiLevelType w:val="hybridMultilevel"/>
    <w:tmpl w:val="39DE63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3B7B70"/>
    <w:multiLevelType w:val="hybridMultilevel"/>
    <w:tmpl w:val="835032CE"/>
    <w:lvl w:ilvl="0" w:tplc="674089F6">
      <w:start w:val="1"/>
      <w:numFmt w:val="decimal"/>
      <w:lvlText w:val="Observation %1:"/>
      <w:lvlJc w:val="left"/>
      <w:pPr>
        <w:ind w:left="360" w:hanging="360"/>
      </w:pPr>
      <w:rPr>
        <w:rFonts w:hint="default"/>
        <w:b/>
        <w:i w:val="0"/>
        <w:spacing w:val="0"/>
        <w:position w:val="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105816"/>
    <w:multiLevelType w:val="hybridMultilevel"/>
    <w:tmpl w:val="26423D42"/>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66E83"/>
    <w:multiLevelType w:val="hybridMultilevel"/>
    <w:tmpl w:val="B1C8E07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EB5CEF"/>
    <w:multiLevelType w:val="hybridMultilevel"/>
    <w:tmpl w:val="EB000BE6"/>
    <w:lvl w:ilvl="0" w:tplc="1F9AA3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0079C"/>
    <w:multiLevelType w:val="hybridMultilevel"/>
    <w:tmpl w:val="30D4875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B0485A"/>
    <w:multiLevelType w:val="hybridMultilevel"/>
    <w:tmpl w:val="8220636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8D4EA1"/>
    <w:multiLevelType w:val="hybridMultilevel"/>
    <w:tmpl w:val="08B68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2392F"/>
    <w:multiLevelType w:val="hybridMultilevel"/>
    <w:tmpl w:val="17C68206"/>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70146DC0"/>
    <w:lvl w:ilvl="0" w:tplc="022A7560">
      <w:start w:val="1"/>
      <w:numFmt w:val="bullet"/>
      <w:pStyle w:val="Agreement"/>
      <w:lvlText w:val=""/>
      <w:lvlJc w:val="left"/>
      <w:pPr>
        <w:tabs>
          <w:tab w:val="left" w:pos="2790"/>
        </w:tabs>
        <w:ind w:left="2790" w:hanging="360"/>
      </w:pPr>
      <w:rPr>
        <w:rFonts w:ascii="minorBidi" w:hAnsi="minorBidi"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4" w15:restartNumberingAfterBreak="0">
    <w:nsid w:val="73FA1120"/>
    <w:multiLevelType w:val="hybridMultilevel"/>
    <w:tmpl w:val="73FA1120"/>
    <w:lvl w:ilvl="0" w:tplc="EB325B6C">
      <w:start w:val="1"/>
      <w:numFmt w:val="bullet"/>
      <w:lvlText w:val=""/>
      <w:lvlJc w:val="left"/>
      <w:pPr>
        <w:ind w:left="720" w:hanging="360"/>
      </w:pPr>
      <w:rPr>
        <w:rFonts w:ascii="Symbol" w:hAnsi="Symbol" w:hint="default"/>
      </w:rPr>
    </w:lvl>
    <w:lvl w:ilvl="1" w:tplc="C21E6DF4">
      <w:start w:val="1"/>
      <w:numFmt w:val="bullet"/>
      <w:lvlText w:val="o"/>
      <w:lvlJc w:val="left"/>
      <w:pPr>
        <w:ind w:left="1440" w:hanging="360"/>
      </w:pPr>
      <w:rPr>
        <w:rFonts w:ascii="Courier New" w:hAnsi="Courier New" w:cs="Courier New" w:hint="default"/>
      </w:rPr>
    </w:lvl>
    <w:lvl w:ilvl="2" w:tplc="A7A4D86A">
      <w:start w:val="1"/>
      <w:numFmt w:val="bullet"/>
      <w:lvlText w:val=""/>
      <w:lvlJc w:val="left"/>
      <w:pPr>
        <w:ind w:left="2160" w:hanging="360"/>
      </w:pPr>
      <w:rPr>
        <w:rFonts w:ascii="Wingdings" w:hAnsi="Wingdings" w:hint="default"/>
      </w:rPr>
    </w:lvl>
    <w:lvl w:ilvl="3" w:tplc="0652B078">
      <w:start w:val="1"/>
      <w:numFmt w:val="bullet"/>
      <w:lvlText w:val=""/>
      <w:lvlJc w:val="left"/>
      <w:pPr>
        <w:ind w:left="2880" w:hanging="360"/>
      </w:pPr>
      <w:rPr>
        <w:rFonts w:ascii="Symbol" w:hAnsi="Symbol" w:hint="default"/>
      </w:rPr>
    </w:lvl>
    <w:lvl w:ilvl="4" w:tplc="8056CB9E">
      <w:start w:val="1"/>
      <w:numFmt w:val="bullet"/>
      <w:lvlText w:val="o"/>
      <w:lvlJc w:val="left"/>
      <w:pPr>
        <w:ind w:left="3600" w:hanging="360"/>
      </w:pPr>
      <w:rPr>
        <w:rFonts w:ascii="Courier New" w:hAnsi="Courier New" w:cs="Courier New" w:hint="default"/>
      </w:rPr>
    </w:lvl>
    <w:lvl w:ilvl="5" w:tplc="01964C6C">
      <w:start w:val="1"/>
      <w:numFmt w:val="bullet"/>
      <w:lvlText w:val=""/>
      <w:lvlJc w:val="left"/>
      <w:pPr>
        <w:ind w:left="4320" w:hanging="360"/>
      </w:pPr>
      <w:rPr>
        <w:rFonts w:ascii="Wingdings" w:hAnsi="Wingdings" w:hint="default"/>
      </w:rPr>
    </w:lvl>
    <w:lvl w:ilvl="6" w:tplc="1CFE91EE">
      <w:start w:val="1"/>
      <w:numFmt w:val="bullet"/>
      <w:lvlText w:val=""/>
      <w:lvlJc w:val="left"/>
      <w:pPr>
        <w:ind w:left="5040" w:hanging="360"/>
      </w:pPr>
      <w:rPr>
        <w:rFonts w:ascii="Symbol" w:hAnsi="Symbol" w:hint="default"/>
      </w:rPr>
    </w:lvl>
    <w:lvl w:ilvl="7" w:tplc="D47A01C4">
      <w:start w:val="1"/>
      <w:numFmt w:val="bullet"/>
      <w:lvlText w:val="o"/>
      <w:lvlJc w:val="left"/>
      <w:pPr>
        <w:ind w:left="5760" w:hanging="360"/>
      </w:pPr>
      <w:rPr>
        <w:rFonts w:ascii="Courier New" w:hAnsi="Courier New" w:cs="Courier New" w:hint="default"/>
      </w:rPr>
    </w:lvl>
    <w:lvl w:ilvl="8" w:tplc="281C0794">
      <w:start w:val="1"/>
      <w:numFmt w:val="bullet"/>
      <w:lvlText w:val=""/>
      <w:lvlJc w:val="left"/>
      <w:pPr>
        <w:ind w:left="6480" w:hanging="360"/>
      </w:pPr>
      <w:rPr>
        <w:rFonts w:ascii="Wingdings" w:hAnsi="Wingdings" w:hint="default"/>
      </w:rPr>
    </w:lvl>
  </w:abstractNum>
  <w:abstractNum w:abstractNumId="25" w15:restartNumberingAfterBreak="0">
    <w:nsid w:val="7F652594"/>
    <w:multiLevelType w:val="hybridMultilevel"/>
    <w:tmpl w:val="C3205BE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13"/>
  </w:num>
  <w:num w:numId="4">
    <w:abstractNumId w:val="17"/>
  </w:num>
  <w:num w:numId="5">
    <w:abstractNumId w:val="8"/>
  </w:num>
  <w:num w:numId="6">
    <w:abstractNumId w:val="6"/>
  </w:num>
  <w:num w:numId="7">
    <w:abstractNumId w:val="0"/>
  </w:num>
  <w:num w:numId="8">
    <w:abstractNumId w:val="6"/>
  </w:num>
  <w:num w:numId="9">
    <w:abstractNumId w:val="6"/>
  </w:num>
  <w:num w:numId="10">
    <w:abstractNumId w:val="12"/>
  </w:num>
  <w:num w:numId="11">
    <w:abstractNumId w:val="12"/>
  </w:num>
  <w:num w:numId="12">
    <w:abstractNumId w:val="12"/>
  </w:num>
  <w:num w:numId="13">
    <w:abstractNumId w:val="12"/>
  </w:num>
  <w:num w:numId="14">
    <w:abstractNumId w:val="12"/>
  </w:num>
  <w:num w:numId="15">
    <w:abstractNumId w:val="6"/>
  </w:num>
  <w:num w:numId="16">
    <w:abstractNumId w:val="6"/>
  </w:num>
  <w:num w:numId="17">
    <w:abstractNumId w:val="6"/>
  </w:num>
  <w:num w:numId="18">
    <w:abstractNumId w:val="0"/>
  </w:num>
  <w:num w:numId="19">
    <w:abstractNumId w:val="6"/>
  </w:num>
  <w:num w:numId="20">
    <w:abstractNumId w:val="20"/>
  </w:num>
  <w:num w:numId="21">
    <w:abstractNumId w:val="25"/>
  </w:num>
  <w:num w:numId="22">
    <w:abstractNumId w:val="23"/>
  </w:num>
  <w:num w:numId="23">
    <w:abstractNumId w:val="24"/>
  </w:num>
  <w:num w:numId="24">
    <w:abstractNumId w:val="10"/>
  </w:num>
  <w:num w:numId="25">
    <w:abstractNumId w:val="5"/>
  </w:num>
  <w:num w:numId="26">
    <w:abstractNumId w:val="15"/>
  </w:num>
  <w:num w:numId="27">
    <w:abstractNumId w:val="1"/>
  </w:num>
  <w:num w:numId="28">
    <w:abstractNumId w:val="19"/>
  </w:num>
  <w:num w:numId="29">
    <w:abstractNumId w:val="7"/>
  </w:num>
  <w:num w:numId="30">
    <w:abstractNumId w:val="22"/>
  </w:num>
  <w:num w:numId="31">
    <w:abstractNumId w:val="14"/>
  </w:num>
  <w:num w:numId="32">
    <w:abstractNumId w:val="4"/>
  </w:num>
  <w:num w:numId="33">
    <w:abstractNumId w:val="2"/>
  </w:num>
  <w:num w:numId="34">
    <w:abstractNumId w:val="16"/>
  </w:num>
  <w:num w:numId="35">
    <w:abstractNumId w:val="12"/>
  </w:num>
  <w:num w:numId="36">
    <w:abstractNumId w:val="12"/>
  </w:num>
  <w:num w:numId="37">
    <w:abstractNumId w:val="3"/>
  </w:num>
  <w:num w:numId="38">
    <w:abstractNumId w:val="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2FE7"/>
    <w:rsid w:val="000078F5"/>
    <w:rsid w:val="00010302"/>
    <w:rsid w:val="000111D4"/>
    <w:rsid w:val="000118C8"/>
    <w:rsid w:val="0002295F"/>
    <w:rsid w:val="00025013"/>
    <w:rsid w:val="0002528F"/>
    <w:rsid w:val="000264AA"/>
    <w:rsid w:val="00026DF1"/>
    <w:rsid w:val="00027C05"/>
    <w:rsid w:val="00030E5F"/>
    <w:rsid w:val="000321BD"/>
    <w:rsid w:val="00032C4F"/>
    <w:rsid w:val="00035DFB"/>
    <w:rsid w:val="00036E69"/>
    <w:rsid w:val="00037970"/>
    <w:rsid w:val="00037E0D"/>
    <w:rsid w:val="00037E35"/>
    <w:rsid w:val="00042288"/>
    <w:rsid w:val="00043748"/>
    <w:rsid w:val="000454CC"/>
    <w:rsid w:val="0005037E"/>
    <w:rsid w:val="00057C37"/>
    <w:rsid w:val="00057C8A"/>
    <w:rsid w:val="0006228A"/>
    <w:rsid w:val="00062F35"/>
    <w:rsid w:val="0006456A"/>
    <w:rsid w:val="000656E0"/>
    <w:rsid w:val="000665EA"/>
    <w:rsid w:val="00076B76"/>
    <w:rsid w:val="00077614"/>
    <w:rsid w:val="000801C3"/>
    <w:rsid w:val="0008306A"/>
    <w:rsid w:val="000870A2"/>
    <w:rsid w:val="00092A1F"/>
    <w:rsid w:val="00092EE9"/>
    <w:rsid w:val="00095258"/>
    <w:rsid w:val="000971F7"/>
    <w:rsid w:val="000A014D"/>
    <w:rsid w:val="000A06D2"/>
    <w:rsid w:val="000A30A0"/>
    <w:rsid w:val="000A50B8"/>
    <w:rsid w:val="000A59AC"/>
    <w:rsid w:val="000A763A"/>
    <w:rsid w:val="000B486D"/>
    <w:rsid w:val="000B5D0D"/>
    <w:rsid w:val="000B6589"/>
    <w:rsid w:val="000C1883"/>
    <w:rsid w:val="000C1B7D"/>
    <w:rsid w:val="000C3E0E"/>
    <w:rsid w:val="000C6339"/>
    <w:rsid w:val="000D08A3"/>
    <w:rsid w:val="000D0B9A"/>
    <w:rsid w:val="000D1627"/>
    <w:rsid w:val="000D323A"/>
    <w:rsid w:val="000D3F37"/>
    <w:rsid w:val="000D68B2"/>
    <w:rsid w:val="000E2328"/>
    <w:rsid w:val="000E4BE7"/>
    <w:rsid w:val="000E4C1A"/>
    <w:rsid w:val="000E6944"/>
    <w:rsid w:val="000E6BDC"/>
    <w:rsid w:val="000F5CA8"/>
    <w:rsid w:val="000F6E2C"/>
    <w:rsid w:val="000F7896"/>
    <w:rsid w:val="001062AC"/>
    <w:rsid w:val="001119C1"/>
    <w:rsid w:val="00112D48"/>
    <w:rsid w:val="00114B31"/>
    <w:rsid w:val="00116233"/>
    <w:rsid w:val="001169C5"/>
    <w:rsid w:val="00117A08"/>
    <w:rsid w:val="00123CEF"/>
    <w:rsid w:val="0012628E"/>
    <w:rsid w:val="00126A5E"/>
    <w:rsid w:val="00127A30"/>
    <w:rsid w:val="00130A70"/>
    <w:rsid w:val="00133F35"/>
    <w:rsid w:val="0013606F"/>
    <w:rsid w:val="001371C7"/>
    <w:rsid w:val="001408B8"/>
    <w:rsid w:val="001434A2"/>
    <w:rsid w:val="001475DB"/>
    <w:rsid w:val="001503D1"/>
    <w:rsid w:val="0015040F"/>
    <w:rsid w:val="001518D1"/>
    <w:rsid w:val="001567FC"/>
    <w:rsid w:val="001570D5"/>
    <w:rsid w:val="0016360F"/>
    <w:rsid w:val="00163E83"/>
    <w:rsid w:val="00163F0B"/>
    <w:rsid w:val="00166C41"/>
    <w:rsid w:val="001675C1"/>
    <w:rsid w:val="00167A29"/>
    <w:rsid w:val="001711A4"/>
    <w:rsid w:val="001839CD"/>
    <w:rsid w:val="00185887"/>
    <w:rsid w:val="00186CB3"/>
    <w:rsid w:val="00195713"/>
    <w:rsid w:val="001961D5"/>
    <w:rsid w:val="00197FAE"/>
    <w:rsid w:val="001A14F7"/>
    <w:rsid w:val="001A4B8A"/>
    <w:rsid w:val="001A55A8"/>
    <w:rsid w:val="001B4E26"/>
    <w:rsid w:val="001B5224"/>
    <w:rsid w:val="001B65AE"/>
    <w:rsid w:val="001B6BB0"/>
    <w:rsid w:val="001B7621"/>
    <w:rsid w:val="001C0FAD"/>
    <w:rsid w:val="001C4EF3"/>
    <w:rsid w:val="001D3AAD"/>
    <w:rsid w:val="001D67C6"/>
    <w:rsid w:val="001D73D8"/>
    <w:rsid w:val="001E1F43"/>
    <w:rsid w:val="001E2166"/>
    <w:rsid w:val="001E283E"/>
    <w:rsid w:val="001E76CD"/>
    <w:rsid w:val="001F17BE"/>
    <w:rsid w:val="001F3F72"/>
    <w:rsid w:val="001F7566"/>
    <w:rsid w:val="001F7A03"/>
    <w:rsid w:val="002010D5"/>
    <w:rsid w:val="0020221F"/>
    <w:rsid w:val="0020686A"/>
    <w:rsid w:val="002232BC"/>
    <w:rsid w:val="00225802"/>
    <w:rsid w:val="00227AD8"/>
    <w:rsid w:val="002330F2"/>
    <w:rsid w:val="002357C9"/>
    <w:rsid w:val="00235E99"/>
    <w:rsid w:val="002443B6"/>
    <w:rsid w:val="0024667C"/>
    <w:rsid w:val="002472E2"/>
    <w:rsid w:val="0025088D"/>
    <w:rsid w:val="0025099A"/>
    <w:rsid w:val="00265906"/>
    <w:rsid w:val="00266194"/>
    <w:rsid w:val="00266CA7"/>
    <w:rsid w:val="0026794F"/>
    <w:rsid w:val="00267FFD"/>
    <w:rsid w:val="00271E19"/>
    <w:rsid w:val="0027326F"/>
    <w:rsid w:val="00273C81"/>
    <w:rsid w:val="002751F9"/>
    <w:rsid w:val="00275622"/>
    <w:rsid w:val="00277A51"/>
    <w:rsid w:val="0028048D"/>
    <w:rsid w:val="00280759"/>
    <w:rsid w:val="002824B5"/>
    <w:rsid w:val="00285C95"/>
    <w:rsid w:val="0029037F"/>
    <w:rsid w:val="00290EE6"/>
    <w:rsid w:val="0029164A"/>
    <w:rsid w:val="00291C2C"/>
    <w:rsid w:val="002962DA"/>
    <w:rsid w:val="002A1349"/>
    <w:rsid w:val="002A5267"/>
    <w:rsid w:val="002A5CE9"/>
    <w:rsid w:val="002B12F6"/>
    <w:rsid w:val="002B3124"/>
    <w:rsid w:val="002B35E0"/>
    <w:rsid w:val="002B7531"/>
    <w:rsid w:val="002B7F00"/>
    <w:rsid w:val="002C1663"/>
    <w:rsid w:val="002C2F83"/>
    <w:rsid w:val="002C3AD3"/>
    <w:rsid w:val="002D0096"/>
    <w:rsid w:val="002D60B0"/>
    <w:rsid w:val="002D7BE5"/>
    <w:rsid w:val="002D7C3F"/>
    <w:rsid w:val="002E2DB5"/>
    <w:rsid w:val="002E4671"/>
    <w:rsid w:val="002E66D9"/>
    <w:rsid w:val="002E725E"/>
    <w:rsid w:val="002F0320"/>
    <w:rsid w:val="002F1C5F"/>
    <w:rsid w:val="003067D0"/>
    <w:rsid w:val="0031309A"/>
    <w:rsid w:val="00320434"/>
    <w:rsid w:val="00320C81"/>
    <w:rsid w:val="0033075F"/>
    <w:rsid w:val="00332736"/>
    <w:rsid w:val="00332F96"/>
    <w:rsid w:val="00333049"/>
    <w:rsid w:val="00333CBE"/>
    <w:rsid w:val="00333E50"/>
    <w:rsid w:val="003350CA"/>
    <w:rsid w:val="00336436"/>
    <w:rsid w:val="003365AF"/>
    <w:rsid w:val="00341B7D"/>
    <w:rsid w:val="00343FF4"/>
    <w:rsid w:val="003442DD"/>
    <w:rsid w:val="00344C4F"/>
    <w:rsid w:val="0034765E"/>
    <w:rsid w:val="00351105"/>
    <w:rsid w:val="003512CC"/>
    <w:rsid w:val="00357B04"/>
    <w:rsid w:val="0036178B"/>
    <w:rsid w:val="003660BB"/>
    <w:rsid w:val="00366341"/>
    <w:rsid w:val="003669A4"/>
    <w:rsid w:val="003677E8"/>
    <w:rsid w:val="00371276"/>
    <w:rsid w:val="003716DB"/>
    <w:rsid w:val="00372FE7"/>
    <w:rsid w:val="00376A94"/>
    <w:rsid w:val="0038026E"/>
    <w:rsid w:val="00381281"/>
    <w:rsid w:val="00381648"/>
    <w:rsid w:val="003823F8"/>
    <w:rsid w:val="00387104"/>
    <w:rsid w:val="003874D5"/>
    <w:rsid w:val="00393B15"/>
    <w:rsid w:val="003A2017"/>
    <w:rsid w:val="003A4BBF"/>
    <w:rsid w:val="003A7FAA"/>
    <w:rsid w:val="003B05D2"/>
    <w:rsid w:val="003B06D0"/>
    <w:rsid w:val="003B2098"/>
    <w:rsid w:val="003B50F0"/>
    <w:rsid w:val="003B5F9D"/>
    <w:rsid w:val="003B7001"/>
    <w:rsid w:val="003C3A98"/>
    <w:rsid w:val="003D1C14"/>
    <w:rsid w:val="003D224A"/>
    <w:rsid w:val="003D27EC"/>
    <w:rsid w:val="003D3DD0"/>
    <w:rsid w:val="003D4540"/>
    <w:rsid w:val="003D57E3"/>
    <w:rsid w:val="003D5B0A"/>
    <w:rsid w:val="003D7E6C"/>
    <w:rsid w:val="003E1DD5"/>
    <w:rsid w:val="003E35F5"/>
    <w:rsid w:val="003E39C4"/>
    <w:rsid w:val="003E39E9"/>
    <w:rsid w:val="003E7D05"/>
    <w:rsid w:val="003F1B2F"/>
    <w:rsid w:val="003F1E94"/>
    <w:rsid w:val="003F3054"/>
    <w:rsid w:val="003F5443"/>
    <w:rsid w:val="004028DD"/>
    <w:rsid w:val="00402A37"/>
    <w:rsid w:val="00402C31"/>
    <w:rsid w:val="00402E69"/>
    <w:rsid w:val="00404D29"/>
    <w:rsid w:val="00405179"/>
    <w:rsid w:val="00410F8E"/>
    <w:rsid w:val="00411993"/>
    <w:rsid w:val="004134CC"/>
    <w:rsid w:val="00413663"/>
    <w:rsid w:val="00415BD8"/>
    <w:rsid w:val="004201E0"/>
    <w:rsid w:val="004206BE"/>
    <w:rsid w:val="0042250E"/>
    <w:rsid w:val="00424876"/>
    <w:rsid w:val="00425003"/>
    <w:rsid w:val="0042542E"/>
    <w:rsid w:val="004264E2"/>
    <w:rsid w:val="00430026"/>
    <w:rsid w:val="00430EA6"/>
    <w:rsid w:val="00431FDC"/>
    <w:rsid w:val="0043398F"/>
    <w:rsid w:val="00433D62"/>
    <w:rsid w:val="00436EA1"/>
    <w:rsid w:val="00437B9B"/>
    <w:rsid w:val="00437DEC"/>
    <w:rsid w:val="004407DC"/>
    <w:rsid w:val="00443CD2"/>
    <w:rsid w:val="00453464"/>
    <w:rsid w:val="004549E1"/>
    <w:rsid w:val="00456136"/>
    <w:rsid w:val="00460531"/>
    <w:rsid w:val="00461CFF"/>
    <w:rsid w:val="00465DAB"/>
    <w:rsid w:val="004711CE"/>
    <w:rsid w:val="00473223"/>
    <w:rsid w:val="0047699F"/>
    <w:rsid w:val="00481006"/>
    <w:rsid w:val="00481BB9"/>
    <w:rsid w:val="0048325C"/>
    <w:rsid w:val="00487CAD"/>
    <w:rsid w:val="004904B1"/>
    <w:rsid w:val="00490EDD"/>
    <w:rsid w:val="00493B14"/>
    <w:rsid w:val="0049423F"/>
    <w:rsid w:val="00494A45"/>
    <w:rsid w:val="00496F63"/>
    <w:rsid w:val="00497E3D"/>
    <w:rsid w:val="00497EB1"/>
    <w:rsid w:val="004A0DA6"/>
    <w:rsid w:val="004A3770"/>
    <w:rsid w:val="004A5AFC"/>
    <w:rsid w:val="004A7EB3"/>
    <w:rsid w:val="004B2CCE"/>
    <w:rsid w:val="004B4774"/>
    <w:rsid w:val="004B53D6"/>
    <w:rsid w:val="004B5F2D"/>
    <w:rsid w:val="004B6B97"/>
    <w:rsid w:val="004B6C07"/>
    <w:rsid w:val="004B6D69"/>
    <w:rsid w:val="004B701E"/>
    <w:rsid w:val="004B71DE"/>
    <w:rsid w:val="004C18A7"/>
    <w:rsid w:val="004C3945"/>
    <w:rsid w:val="004C4D79"/>
    <w:rsid w:val="004D0E8D"/>
    <w:rsid w:val="004D3590"/>
    <w:rsid w:val="004D610B"/>
    <w:rsid w:val="004D7344"/>
    <w:rsid w:val="004E0304"/>
    <w:rsid w:val="004E1590"/>
    <w:rsid w:val="004F14BA"/>
    <w:rsid w:val="004F2A8C"/>
    <w:rsid w:val="004F2FAB"/>
    <w:rsid w:val="004F3ABE"/>
    <w:rsid w:val="004F58AD"/>
    <w:rsid w:val="00504CD8"/>
    <w:rsid w:val="00504DDF"/>
    <w:rsid w:val="00505943"/>
    <w:rsid w:val="005059DB"/>
    <w:rsid w:val="005064B9"/>
    <w:rsid w:val="005107E0"/>
    <w:rsid w:val="00512DFD"/>
    <w:rsid w:val="00515F57"/>
    <w:rsid w:val="005167E3"/>
    <w:rsid w:val="005214AC"/>
    <w:rsid w:val="00521B56"/>
    <w:rsid w:val="005240C3"/>
    <w:rsid w:val="00527A2A"/>
    <w:rsid w:val="00531AD8"/>
    <w:rsid w:val="005322E3"/>
    <w:rsid w:val="00536E78"/>
    <w:rsid w:val="00541577"/>
    <w:rsid w:val="005450E2"/>
    <w:rsid w:val="00545E1E"/>
    <w:rsid w:val="00546FFB"/>
    <w:rsid w:val="00547D15"/>
    <w:rsid w:val="00550975"/>
    <w:rsid w:val="0055194A"/>
    <w:rsid w:val="005531F6"/>
    <w:rsid w:val="00553D6E"/>
    <w:rsid w:val="00553FA7"/>
    <w:rsid w:val="00562966"/>
    <w:rsid w:val="005658A4"/>
    <w:rsid w:val="00566F0C"/>
    <w:rsid w:val="00567191"/>
    <w:rsid w:val="005671D1"/>
    <w:rsid w:val="005708B3"/>
    <w:rsid w:val="005718E1"/>
    <w:rsid w:val="00574A23"/>
    <w:rsid w:val="00575C99"/>
    <w:rsid w:val="005810E0"/>
    <w:rsid w:val="00582407"/>
    <w:rsid w:val="00582943"/>
    <w:rsid w:val="00586B63"/>
    <w:rsid w:val="00591957"/>
    <w:rsid w:val="00594ACC"/>
    <w:rsid w:val="00595D64"/>
    <w:rsid w:val="00595FD5"/>
    <w:rsid w:val="00597680"/>
    <w:rsid w:val="005A2004"/>
    <w:rsid w:val="005A3F60"/>
    <w:rsid w:val="005A5F44"/>
    <w:rsid w:val="005A5FD0"/>
    <w:rsid w:val="005B2547"/>
    <w:rsid w:val="005B35CE"/>
    <w:rsid w:val="005B4DA2"/>
    <w:rsid w:val="005B52DE"/>
    <w:rsid w:val="005C161B"/>
    <w:rsid w:val="005C23C6"/>
    <w:rsid w:val="005C3093"/>
    <w:rsid w:val="005C3BC7"/>
    <w:rsid w:val="005C6AA8"/>
    <w:rsid w:val="005D0081"/>
    <w:rsid w:val="005D1666"/>
    <w:rsid w:val="005D25F8"/>
    <w:rsid w:val="005D28D5"/>
    <w:rsid w:val="005E2574"/>
    <w:rsid w:val="005E5376"/>
    <w:rsid w:val="005E7273"/>
    <w:rsid w:val="005E79F8"/>
    <w:rsid w:val="005F05E6"/>
    <w:rsid w:val="005F0C99"/>
    <w:rsid w:val="005F1DFC"/>
    <w:rsid w:val="005F385E"/>
    <w:rsid w:val="005F778E"/>
    <w:rsid w:val="006001D4"/>
    <w:rsid w:val="00600EAF"/>
    <w:rsid w:val="00601B51"/>
    <w:rsid w:val="006030BF"/>
    <w:rsid w:val="00604620"/>
    <w:rsid w:val="006054E8"/>
    <w:rsid w:val="006068F1"/>
    <w:rsid w:val="006118E7"/>
    <w:rsid w:val="006154C8"/>
    <w:rsid w:val="006164BD"/>
    <w:rsid w:val="00616F62"/>
    <w:rsid w:val="00621256"/>
    <w:rsid w:val="0062496B"/>
    <w:rsid w:val="00626DA7"/>
    <w:rsid w:val="00630D34"/>
    <w:rsid w:val="00634249"/>
    <w:rsid w:val="00635575"/>
    <w:rsid w:val="00635C94"/>
    <w:rsid w:val="00635F03"/>
    <w:rsid w:val="00636166"/>
    <w:rsid w:val="00637370"/>
    <w:rsid w:val="006436D1"/>
    <w:rsid w:val="006446D2"/>
    <w:rsid w:val="0065050F"/>
    <w:rsid w:val="006520B0"/>
    <w:rsid w:val="00653013"/>
    <w:rsid w:val="00657D94"/>
    <w:rsid w:val="00661A4A"/>
    <w:rsid w:val="00663816"/>
    <w:rsid w:val="00663EAB"/>
    <w:rsid w:val="00667C45"/>
    <w:rsid w:val="00671A3F"/>
    <w:rsid w:val="00672EDB"/>
    <w:rsid w:val="00673AF3"/>
    <w:rsid w:val="00675278"/>
    <w:rsid w:val="006754B8"/>
    <w:rsid w:val="0067566A"/>
    <w:rsid w:val="00676BBC"/>
    <w:rsid w:val="0068197A"/>
    <w:rsid w:val="00682336"/>
    <w:rsid w:val="00683B78"/>
    <w:rsid w:val="0068454A"/>
    <w:rsid w:val="0068594D"/>
    <w:rsid w:val="006865FA"/>
    <w:rsid w:val="00686C4D"/>
    <w:rsid w:val="0069006E"/>
    <w:rsid w:val="0069243A"/>
    <w:rsid w:val="00694002"/>
    <w:rsid w:val="00695049"/>
    <w:rsid w:val="006A2632"/>
    <w:rsid w:val="006A777E"/>
    <w:rsid w:val="006B1208"/>
    <w:rsid w:val="006B42A5"/>
    <w:rsid w:val="006B5ADB"/>
    <w:rsid w:val="006C12C9"/>
    <w:rsid w:val="006C3961"/>
    <w:rsid w:val="006C3C9C"/>
    <w:rsid w:val="006C54C8"/>
    <w:rsid w:val="006C5A0F"/>
    <w:rsid w:val="006C79E1"/>
    <w:rsid w:val="006D0294"/>
    <w:rsid w:val="006D0A67"/>
    <w:rsid w:val="006D3A7D"/>
    <w:rsid w:val="006D5312"/>
    <w:rsid w:val="006D5BFB"/>
    <w:rsid w:val="006D5E44"/>
    <w:rsid w:val="006D6717"/>
    <w:rsid w:val="006E0E97"/>
    <w:rsid w:val="006E387D"/>
    <w:rsid w:val="006E5918"/>
    <w:rsid w:val="006E6C41"/>
    <w:rsid w:val="006F1D67"/>
    <w:rsid w:val="006F50D1"/>
    <w:rsid w:val="006F75B1"/>
    <w:rsid w:val="0071251D"/>
    <w:rsid w:val="00715170"/>
    <w:rsid w:val="007207D3"/>
    <w:rsid w:val="00722CAF"/>
    <w:rsid w:val="00723414"/>
    <w:rsid w:val="00724DE0"/>
    <w:rsid w:val="00725680"/>
    <w:rsid w:val="007270F9"/>
    <w:rsid w:val="00727490"/>
    <w:rsid w:val="00730BD3"/>
    <w:rsid w:val="0073111E"/>
    <w:rsid w:val="00731EF9"/>
    <w:rsid w:val="0073351B"/>
    <w:rsid w:val="0073374B"/>
    <w:rsid w:val="0073605F"/>
    <w:rsid w:val="00741E22"/>
    <w:rsid w:val="00743968"/>
    <w:rsid w:val="00744983"/>
    <w:rsid w:val="0074783B"/>
    <w:rsid w:val="00751697"/>
    <w:rsid w:val="007529F0"/>
    <w:rsid w:val="00752FC8"/>
    <w:rsid w:val="00753532"/>
    <w:rsid w:val="007541B8"/>
    <w:rsid w:val="00754D9D"/>
    <w:rsid w:val="007559FE"/>
    <w:rsid w:val="007568BC"/>
    <w:rsid w:val="00756D49"/>
    <w:rsid w:val="00761A10"/>
    <w:rsid w:val="007621E7"/>
    <w:rsid w:val="0076742A"/>
    <w:rsid w:val="00767D87"/>
    <w:rsid w:val="00774F2F"/>
    <w:rsid w:val="007772F3"/>
    <w:rsid w:val="00785805"/>
    <w:rsid w:val="00785A38"/>
    <w:rsid w:val="007864A1"/>
    <w:rsid w:val="00792B4D"/>
    <w:rsid w:val="007949BD"/>
    <w:rsid w:val="00795ED0"/>
    <w:rsid w:val="007A1A66"/>
    <w:rsid w:val="007A55FA"/>
    <w:rsid w:val="007B3420"/>
    <w:rsid w:val="007B3D83"/>
    <w:rsid w:val="007B5C46"/>
    <w:rsid w:val="007B68EB"/>
    <w:rsid w:val="007C70E9"/>
    <w:rsid w:val="007C72FF"/>
    <w:rsid w:val="007D0142"/>
    <w:rsid w:val="007D2A97"/>
    <w:rsid w:val="007D4CCC"/>
    <w:rsid w:val="007D7910"/>
    <w:rsid w:val="007E23C2"/>
    <w:rsid w:val="007E40F3"/>
    <w:rsid w:val="007E56C9"/>
    <w:rsid w:val="007E6866"/>
    <w:rsid w:val="007E6C89"/>
    <w:rsid w:val="007F0B87"/>
    <w:rsid w:val="007F574A"/>
    <w:rsid w:val="007F68F3"/>
    <w:rsid w:val="007F77B3"/>
    <w:rsid w:val="008006B2"/>
    <w:rsid w:val="008062FE"/>
    <w:rsid w:val="008072DD"/>
    <w:rsid w:val="0080756C"/>
    <w:rsid w:val="00812E16"/>
    <w:rsid w:val="0082269E"/>
    <w:rsid w:val="0082285A"/>
    <w:rsid w:val="00824588"/>
    <w:rsid w:val="00827820"/>
    <w:rsid w:val="00827EDE"/>
    <w:rsid w:val="00831216"/>
    <w:rsid w:val="008363DE"/>
    <w:rsid w:val="008375B1"/>
    <w:rsid w:val="00837A9C"/>
    <w:rsid w:val="00840014"/>
    <w:rsid w:val="00843C8E"/>
    <w:rsid w:val="008459CE"/>
    <w:rsid w:val="008502C6"/>
    <w:rsid w:val="00851EEE"/>
    <w:rsid w:val="0085415F"/>
    <w:rsid w:val="008547A1"/>
    <w:rsid w:val="008547D2"/>
    <w:rsid w:val="008571A5"/>
    <w:rsid w:val="008572A4"/>
    <w:rsid w:val="00860258"/>
    <w:rsid w:val="00863DBA"/>
    <w:rsid w:val="00865304"/>
    <w:rsid w:val="00867955"/>
    <w:rsid w:val="00867B92"/>
    <w:rsid w:val="00873B89"/>
    <w:rsid w:val="00874214"/>
    <w:rsid w:val="00874F59"/>
    <w:rsid w:val="00880449"/>
    <w:rsid w:val="00885C48"/>
    <w:rsid w:val="00887380"/>
    <w:rsid w:val="008877A4"/>
    <w:rsid w:val="00887CAD"/>
    <w:rsid w:val="00890506"/>
    <w:rsid w:val="00891A29"/>
    <w:rsid w:val="0089263A"/>
    <w:rsid w:val="00893A35"/>
    <w:rsid w:val="00894BB4"/>
    <w:rsid w:val="00897876"/>
    <w:rsid w:val="008A375A"/>
    <w:rsid w:val="008A64FE"/>
    <w:rsid w:val="008B2155"/>
    <w:rsid w:val="008B2B5E"/>
    <w:rsid w:val="008B680A"/>
    <w:rsid w:val="008C05D2"/>
    <w:rsid w:val="008C1E17"/>
    <w:rsid w:val="008C22FF"/>
    <w:rsid w:val="008C68E4"/>
    <w:rsid w:val="008C6D90"/>
    <w:rsid w:val="008D1935"/>
    <w:rsid w:val="008D6C79"/>
    <w:rsid w:val="008E0C97"/>
    <w:rsid w:val="008E65FA"/>
    <w:rsid w:val="008E7F4D"/>
    <w:rsid w:val="008F031B"/>
    <w:rsid w:val="008F0691"/>
    <w:rsid w:val="008F4E32"/>
    <w:rsid w:val="008F6C10"/>
    <w:rsid w:val="008F740E"/>
    <w:rsid w:val="008F7DAB"/>
    <w:rsid w:val="009014E3"/>
    <w:rsid w:val="009057B2"/>
    <w:rsid w:val="00910312"/>
    <w:rsid w:val="009119C5"/>
    <w:rsid w:val="00912B9E"/>
    <w:rsid w:val="00916573"/>
    <w:rsid w:val="00921264"/>
    <w:rsid w:val="00924B1E"/>
    <w:rsid w:val="00924CE0"/>
    <w:rsid w:val="00925B52"/>
    <w:rsid w:val="00925BD0"/>
    <w:rsid w:val="009318DC"/>
    <w:rsid w:val="00932119"/>
    <w:rsid w:val="009321EC"/>
    <w:rsid w:val="00932572"/>
    <w:rsid w:val="00933649"/>
    <w:rsid w:val="0094000D"/>
    <w:rsid w:val="00940126"/>
    <w:rsid w:val="00941242"/>
    <w:rsid w:val="00942B6C"/>
    <w:rsid w:val="00945682"/>
    <w:rsid w:val="00945952"/>
    <w:rsid w:val="009510F8"/>
    <w:rsid w:val="009530D6"/>
    <w:rsid w:val="009653F9"/>
    <w:rsid w:val="00971859"/>
    <w:rsid w:val="00972C14"/>
    <w:rsid w:val="009767F1"/>
    <w:rsid w:val="00976A55"/>
    <w:rsid w:val="00977029"/>
    <w:rsid w:val="00977F82"/>
    <w:rsid w:val="00981AC5"/>
    <w:rsid w:val="0098451A"/>
    <w:rsid w:val="00985D2B"/>
    <w:rsid w:val="0098700C"/>
    <w:rsid w:val="00987456"/>
    <w:rsid w:val="00996170"/>
    <w:rsid w:val="009A31AE"/>
    <w:rsid w:val="009A5840"/>
    <w:rsid w:val="009A7120"/>
    <w:rsid w:val="009B0D34"/>
    <w:rsid w:val="009B159D"/>
    <w:rsid w:val="009C0BAF"/>
    <w:rsid w:val="009C2293"/>
    <w:rsid w:val="009D058F"/>
    <w:rsid w:val="009D45E9"/>
    <w:rsid w:val="009D5EB9"/>
    <w:rsid w:val="009D5F67"/>
    <w:rsid w:val="009E291C"/>
    <w:rsid w:val="009E5AE4"/>
    <w:rsid w:val="009E6ADC"/>
    <w:rsid w:val="009E7D43"/>
    <w:rsid w:val="009F024E"/>
    <w:rsid w:val="009F4432"/>
    <w:rsid w:val="009F4E00"/>
    <w:rsid w:val="009F5377"/>
    <w:rsid w:val="009F7816"/>
    <w:rsid w:val="00A07488"/>
    <w:rsid w:val="00A07AF9"/>
    <w:rsid w:val="00A12486"/>
    <w:rsid w:val="00A14ABD"/>
    <w:rsid w:val="00A15C55"/>
    <w:rsid w:val="00A15DB2"/>
    <w:rsid w:val="00A17040"/>
    <w:rsid w:val="00A21126"/>
    <w:rsid w:val="00A23DE5"/>
    <w:rsid w:val="00A2434B"/>
    <w:rsid w:val="00A25BA3"/>
    <w:rsid w:val="00A303B0"/>
    <w:rsid w:val="00A41035"/>
    <w:rsid w:val="00A4260B"/>
    <w:rsid w:val="00A45B37"/>
    <w:rsid w:val="00A45E5B"/>
    <w:rsid w:val="00A4778E"/>
    <w:rsid w:val="00A50D99"/>
    <w:rsid w:val="00A51EA9"/>
    <w:rsid w:val="00A53102"/>
    <w:rsid w:val="00A549F0"/>
    <w:rsid w:val="00A55366"/>
    <w:rsid w:val="00A6184E"/>
    <w:rsid w:val="00A67B4D"/>
    <w:rsid w:val="00A718ED"/>
    <w:rsid w:val="00A71E74"/>
    <w:rsid w:val="00A7227A"/>
    <w:rsid w:val="00A72B56"/>
    <w:rsid w:val="00A74739"/>
    <w:rsid w:val="00A75E5D"/>
    <w:rsid w:val="00A80BA4"/>
    <w:rsid w:val="00A85B0F"/>
    <w:rsid w:val="00A863F6"/>
    <w:rsid w:val="00A91809"/>
    <w:rsid w:val="00A93FD6"/>
    <w:rsid w:val="00A947B4"/>
    <w:rsid w:val="00A97447"/>
    <w:rsid w:val="00AA0093"/>
    <w:rsid w:val="00AA130E"/>
    <w:rsid w:val="00AA24ED"/>
    <w:rsid w:val="00AA78F1"/>
    <w:rsid w:val="00AB0DE4"/>
    <w:rsid w:val="00AC2D12"/>
    <w:rsid w:val="00AC55E8"/>
    <w:rsid w:val="00AC66A3"/>
    <w:rsid w:val="00AC6A8E"/>
    <w:rsid w:val="00AC6E2F"/>
    <w:rsid w:val="00AD455D"/>
    <w:rsid w:val="00AD69CF"/>
    <w:rsid w:val="00AE0943"/>
    <w:rsid w:val="00AE3A17"/>
    <w:rsid w:val="00AE44AC"/>
    <w:rsid w:val="00AF23BD"/>
    <w:rsid w:val="00AF3E98"/>
    <w:rsid w:val="00AF4C1B"/>
    <w:rsid w:val="00AF4F9D"/>
    <w:rsid w:val="00AF7FFD"/>
    <w:rsid w:val="00B014B6"/>
    <w:rsid w:val="00B042DA"/>
    <w:rsid w:val="00B052A4"/>
    <w:rsid w:val="00B05304"/>
    <w:rsid w:val="00B05A07"/>
    <w:rsid w:val="00B135C9"/>
    <w:rsid w:val="00B142BE"/>
    <w:rsid w:val="00B143B0"/>
    <w:rsid w:val="00B2572C"/>
    <w:rsid w:val="00B27208"/>
    <w:rsid w:val="00B27AF1"/>
    <w:rsid w:val="00B30FB7"/>
    <w:rsid w:val="00B35888"/>
    <w:rsid w:val="00B36023"/>
    <w:rsid w:val="00B412C7"/>
    <w:rsid w:val="00B46C06"/>
    <w:rsid w:val="00B500D3"/>
    <w:rsid w:val="00B521BC"/>
    <w:rsid w:val="00B54244"/>
    <w:rsid w:val="00B564DD"/>
    <w:rsid w:val="00B607F1"/>
    <w:rsid w:val="00B627EE"/>
    <w:rsid w:val="00B62CF5"/>
    <w:rsid w:val="00B63215"/>
    <w:rsid w:val="00B6570B"/>
    <w:rsid w:val="00B663D8"/>
    <w:rsid w:val="00B67372"/>
    <w:rsid w:val="00B758CC"/>
    <w:rsid w:val="00B77DA6"/>
    <w:rsid w:val="00B82464"/>
    <w:rsid w:val="00B833C1"/>
    <w:rsid w:val="00B84FC5"/>
    <w:rsid w:val="00B863AA"/>
    <w:rsid w:val="00B87ADF"/>
    <w:rsid w:val="00B95DA7"/>
    <w:rsid w:val="00B96704"/>
    <w:rsid w:val="00B96DA3"/>
    <w:rsid w:val="00B97B52"/>
    <w:rsid w:val="00BA16F4"/>
    <w:rsid w:val="00BA2F13"/>
    <w:rsid w:val="00BA544D"/>
    <w:rsid w:val="00BA5728"/>
    <w:rsid w:val="00BA748E"/>
    <w:rsid w:val="00BB0447"/>
    <w:rsid w:val="00BB1B26"/>
    <w:rsid w:val="00BB2033"/>
    <w:rsid w:val="00BB27EE"/>
    <w:rsid w:val="00BC5579"/>
    <w:rsid w:val="00BD1D74"/>
    <w:rsid w:val="00BD2032"/>
    <w:rsid w:val="00BD4FAB"/>
    <w:rsid w:val="00BD6D56"/>
    <w:rsid w:val="00BE2953"/>
    <w:rsid w:val="00BE6DAA"/>
    <w:rsid w:val="00BE7022"/>
    <w:rsid w:val="00BF0D1F"/>
    <w:rsid w:val="00BF1BAA"/>
    <w:rsid w:val="00BF79C8"/>
    <w:rsid w:val="00C07AC4"/>
    <w:rsid w:val="00C12659"/>
    <w:rsid w:val="00C12853"/>
    <w:rsid w:val="00C1600F"/>
    <w:rsid w:val="00C21BC0"/>
    <w:rsid w:val="00C2744E"/>
    <w:rsid w:val="00C27B25"/>
    <w:rsid w:val="00C3101F"/>
    <w:rsid w:val="00C31E3F"/>
    <w:rsid w:val="00C325BB"/>
    <w:rsid w:val="00C33FF2"/>
    <w:rsid w:val="00C42943"/>
    <w:rsid w:val="00C43DA8"/>
    <w:rsid w:val="00C46C09"/>
    <w:rsid w:val="00C47E75"/>
    <w:rsid w:val="00C512A8"/>
    <w:rsid w:val="00C6084A"/>
    <w:rsid w:val="00C6150C"/>
    <w:rsid w:val="00C62543"/>
    <w:rsid w:val="00C65BE8"/>
    <w:rsid w:val="00C65E11"/>
    <w:rsid w:val="00C66B40"/>
    <w:rsid w:val="00C744D3"/>
    <w:rsid w:val="00C90EA3"/>
    <w:rsid w:val="00C91485"/>
    <w:rsid w:val="00C918B5"/>
    <w:rsid w:val="00C922CE"/>
    <w:rsid w:val="00C96881"/>
    <w:rsid w:val="00CA0D4E"/>
    <w:rsid w:val="00CA1755"/>
    <w:rsid w:val="00CA266F"/>
    <w:rsid w:val="00CA58C9"/>
    <w:rsid w:val="00CB04D8"/>
    <w:rsid w:val="00CB076F"/>
    <w:rsid w:val="00CB10FC"/>
    <w:rsid w:val="00CB15A3"/>
    <w:rsid w:val="00CB4C16"/>
    <w:rsid w:val="00CB5850"/>
    <w:rsid w:val="00CB6B89"/>
    <w:rsid w:val="00CB780D"/>
    <w:rsid w:val="00CC0896"/>
    <w:rsid w:val="00CC21A2"/>
    <w:rsid w:val="00CC2C21"/>
    <w:rsid w:val="00CC4CF0"/>
    <w:rsid w:val="00CC5595"/>
    <w:rsid w:val="00CC5B2B"/>
    <w:rsid w:val="00CD247A"/>
    <w:rsid w:val="00CD29C3"/>
    <w:rsid w:val="00CD3F31"/>
    <w:rsid w:val="00CD4EB4"/>
    <w:rsid w:val="00CD5CA4"/>
    <w:rsid w:val="00CD612E"/>
    <w:rsid w:val="00CD7CD3"/>
    <w:rsid w:val="00CE016F"/>
    <w:rsid w:val="00CE0993"/>
    <w:rsid w:val="00CE0E1B"/>
    <w:rsid w:val="00CE63B7"/>
    <w:rsid w:val="00CE7198"/>
    <w:rsid w:val="00CE743D"/>
    <w:rsid w:val="00CF102B"/>
    <w:rsid w:val="00CF109A"/>
    <w:rsid w:val="00CF3026"/>
    <w:rsid w:val="00CF4D21"/>
    <w:rsid w:val="00CF549D"/>
    <w:rsid w:val="00D03334"/>
    <w:rsid w:val="00D070BA"/>
    <w:rsid w:val="00D12BC4"/>
    <w:rsid w:val="00D17ADD"/>
    <w:rsid w:val="00D2027B"/>
    <w:rsid w:val="00D206B2"/>
    <w:rsid w:val="00D276CA"/>
    <w:rsid w:val="00D304FF"/>
    <w:rsid w:val="00D32BEA"/>
    <w:rsid w:val="00D3707F"/>
    <w:rsid w:val="00D439A2"/>
    <w:rsid w:val="00D459B1"/>
    <w:rsid w:val="00D46C11"/>
    <w:rsid w:val="00D510E4"/>
    <w:rsid w:val="00D51AEA"/>
    <w:rsid w:val="00D5556B"/>
    <w:rsid w:val="00D56EFB"/>
    <w:rsid w:val="00D57F47"/>
    <w:rsid w:val="00D57F86"/>
    <w:rsid w:val="00D615EE"/>
    <w:rsid w:val="00D61724"/>
    <w:rsid w:val="00D61C2B"/>
    <w:rsid w:val="00D65347"/>
    <w:rsid w:val="00D66B2F"/>
    <w:rsid w:val="00D70BC9"/>
    <w:rsid w:val="00D734D4"/>
    <w:rsid w:val="00D80E1C"/>
    <w:rsid w:val="00D86542"/>
    <w:rsid w:val="00D900EB"/>
    <w:rsid w:val="00D92203"/>
    <w:rsid w:val="00D96A7A"/>
    <w:rsid w:val="00DA16AA"/>
    <w:rsid w:val="00DA5C62"/>
    <w:rsid w:val="00DA6A2A"/>
    <w:rsid w:val="00DA6E04"/>
    <w:rsid w:val="00DB0882"/>
    <w:rsid w:val="00DB4B2C"/>
    <w:rsid w:val="00DB54E1"/>
    <w:rsid w:val="00DC0417"/>
    <w:rsid w:val="00DC3F01"/>
    <w:rsid w:val="00DC3F99"/>
    <w:rsid w:val="00DC4857"/>
    <w:rsid w:val="00DC6248"/>
    <w:rsid w:val="00DD03A1"/>
    <w:rsid w:val="00DD1A4E"/>
    <w:rsid w:val="00DD6D27"/>
    <w:rsid w:val="00DE1EE5"/>
    <w:rsid w:val="00DE255B"/>
    <w:rsid w:val="00DE3919"/>
    <w:rsid w:val="00DE563D"/>
    <w:rsid w:val="00DE5665"/>
    <w:rsid w:val="00DE6594"/>
    <w:rsid w:val="00DE6AE4"/>
    <w:rsid w:val="00DF1F33"/>
    <w:rsid w:val="00DF2B7B"/>
    <w:rsid w:val="00DF3500"/>
    <w:rsid w:val="00DF3ADD"/>
    <w:rsid w:val="00DF6168"/>
    <w:rsid w:val="00E00233"/>
    <w:rsid w:val="00E00CC3"/>
    <w:rsid w:val="00E0551A"/>
    <w:rsid w:val="00E06149"/>
    <w:rsid w:val="00E06C6C"/>
    <w:rsid w:val="00E101F7"/>
    <w:rsid w:val="00E110C6"/>
    <w:rsid w:val="00E1312E"/>
    <w:rsid w:val="00E140F4"/>
    <w:rsid w:val="00E14531"/>
    <w:rsid w:val="00E177DD"/>
    <w:rsid w:val="00E20526"/>
    <w:rsid w:val="00E22C9C"/>
    <w:rsid w:val="00E238DB"/>
    <w:rsid w:val="00E24E89"/>
    <w:rsid w:val="00E24EDC"/>
    <w:rsid w:val="00E275B0"/>
    <w:rsid w:val="00E300AF"/>
    <w:rsid w:val="00E339A8"/>
    <w:rsid w:val="00E33D06"/>
    <w:rsid w:val="00E35A85"/>
    <w:rsid w:val="00E35BA2"/>
    <w:rsid w:val="00E36069"/>
    <w:rsid w:val="00E41706"/>
    <w:rsid w:val="00E41809"/>
    <w:rsid w:val="00E44176"/>
    <w:rsid w:val="00E45815"/>
    <w:rsid w:val="00E45D8F"/>
    <w:rsid w:val="00E507DF"/>
    <w:rsid w:val="00E50D29"/>
    <w:rsid w:val="00E513F8"/>
    <w:rsid w:val="00E52ED9"/>
    <w:rsid w:val="00E55D4D"/>
    <w:rsid w:val="00E562BC"/>
    <w:rsid w:val="00E6045D"/>
    <w:rsid w:val="00E652A7"/>
    <w:rsid w:val="00E66656"/>
    <w:rsid w:val="00E6759D"/>
    <w:rsid w:val="00E752C4"/>
    <w:rsid w:val="00E827DD"/>
    <w:rsid w:val="00E851F2"/>
    <w:rsid w:val="00E904C3"/>
    <w:rsid w:val="00E90981"/>
    <w:rsid w:val="00E976BD"/>
    <w:rsid w:val="00EA1046"/>
    <w:rsid w:val="00EA4CD5"/>
    <w:rsid w:val="00EA5D5F"/>
    <w:rsid w:val="00EA6A28"/>
    <w:rsid w:val="00EA6EFC"/>
    <w:rsid w:val="00EB0882"/>
    <w:rsid w:val="00EB0AA6"/>
    <w:rsid w:val="00EB273A"/>
    <w:rsid w:val="00EB42C4"/>
    <w:rsid w:val="00EC01FA"/>
    <w:rsid w:val="00EC0615"/>
    <w:rsid w:val="00EC2D68"/>
    <w:rsid w:val="00EC4DCD"/>
    <w:rsid w:val="00EC6B15"/>
    <w:rsid w:val="00EC7333"/>
    <w:rsid w:val="00ED115E"/>
    <w:rsid w:val="00ED5240"/>
    <w:rsid w:val="00ED5484"/>
    <w:rsid w:val="00EE092C"/>
    <w:rsid w:val="00EE1C95"/>
    <w:rsid w:val="00EE713A"/>
    <w:rsid w:val="00EF08B4"/>
    <w:rsid w:val="00EF634B"/>
    <w:rsid w:val="00EF7FB4"/>
    <w:rsid w:val="00F004EE"/>
    <w:rsid w:val="00F00E93"/>
    <w:rsid w:val="00F01C0C"/>
    <w:rsid w:val="00F034AA"/>
    <w:rsid w:val="00F04852"/>
    <w:rsid w:val="00F071B1"/>
    <w:rsid w:val="00F13207"/>
    <w:rsid w:val="00F14524"/>
    <w:rsid w:val="00F161C0"/>
    <w:rsid w:val="00F21619"/>
    <w:rsid w:val="00F21EB4"/>
    <w:rsid w:val="00F241A6"/>
    <w:rsid w:val="00F2547F"/>
    <w:rsid w:val="00F26055"/>
    <w:rsid w:val="00F27168"/>
    <w:rsid w:val="00F27578"/>
    <w:rsid w:val="00F276E9"/>
    <w:rsid w:val="00F27AFA"/>
    <w:rsid w:val="00F30EE8"/>
    <w:rsid w:val="00F33935"/>
    <w:rsid w:val="00F34CE3"/>
    <w:rsid w:val="00F37AF2"/>
    <w:rsid w:val="00F41051"/>
    <w:rsid w:val="00F4160B"/>
    <w:rsid w:val="00F52733"/>
    <w:rsid w:val="00F52A04"/>
    <w:rsid w:val="00F53551"/>
    <w:rsid w:val="00F53A9C"/>
    <w:rsid w:val="00F54062"/>
    <w:rsid w:val="00F54D40"/>
    <w:rsid w:val="00F56265"/>
    <w:rsid w:val="00F57052"/>
    <w:rsid w:val="00F60EE9"/>
    <w:rsid w:val="00F633B5"/>
    <w:rsid w:val="00F66D7D"/>
    <w:rsid w:val="00F66E7E"/>
    <w:rsid w:val="00F674E8"/>
    <w:rsid w:val="00F711B3"/>
    <w:rsid w:val="00F71D3A"/>
    <w:rsid w:val="00F73332"/>
    <w:rsid w:val="00F80637"/>
    <w:rsid w:val="00F81803"/>
    <w:rsid w:val="00F8310B"/>
    <w:rsid w:val="00F839E8"/>
    <w:rsid w:val="00F92B57"/>
    <w:rsid w:val="00F96C04"/>
    <w:rsid w:val="00FA12EC"/>
    <w:rsid w:val="00FA488E"/>
    <w:rsid w:val="00FA5DD2"/>
    <w:rsid w:val="00FA6568"/>
    <w:rsid w:val="00FB09BF"/>
    <w:rsid w:val="00FB3DEF"/>
    <w:rsid w:val="00FB448E"/>
    <w:rsid w:val="00FC267D"/>
    <w:rsid w:val="00FC623A"/>
    <w:rsid w:val="00FD0622"/>
    <w:rsid w:val="00FD0B9F"/>
    <w:rsid w:val="00FD1D81"/>
    <w:rsid w:val="00FD3832"/>
    <w:rsid w:val="00FE14AC"/>
    <w:rsid w:val="00FE341D"/>
    <w:rsid w:val="00FE4236"/>
    <w:rsid w:val="00FF24D4"/>
    <w:rsid w:val="00FF6D99"/>
    <w:rsid w:val="00FF7C45"/>
    <w:rsid w:val="03E36DC4"/>
    <w:rsid w:val="046B9DA6"/>
    <w:rsid w:val="07831890"/>
    <w:rsid w:val="0C60F1A6"/>
    <w:rsid w:val="0D2AAC46"/>
    <w:rsid w:val="0ECFE20B"/>
    <w:rsid w:val="14BE1028"/>
    <w:rsid w:val="19A8F3A7"/>
    <w:rsid w:val="1A06C4B3"/>
    <w:rsid w:val="1EC000AD"/>
    <w:rsid w:val="212B3357"/>
    <w:rsid w:val="21BC4833"/>
    <w:rsid w:val="21F22F5A"/>
    <w:rsid w:val="250FABA0"/>
    <w:rsid w:val="2624D1F7"/>
    <w:rsid w:val="274590AD"/>
    <w:rsid w:val="2CEB9038"/>
    <w:rsid w:val="2DE627D6"/>
    <w:rsid w:val="2F3D1CEC"/>
    <w:rsid w:val="2F577E6B"/>
    <w:rsid w:val="325941DB"/>
    <w:rsid w:val="34825028"/>
    <w:rsid w:val="370E1E9E"/>
    <w:rsid w:val="38B3270A"/>
    <w:rsid w:val="3C6FAB84"/>
    <w:rsid w:val="3EE60676"/>
    <w:rsid w:val="3F5441AE"/>
    <w:rsid w:val="4099CF36"/>
    <w:rsid w:val="40BA3E96"/>
    <w:rsid w:val="410DE016"/>
    <w:rsid w:val="41C24C56"/>
    <w:rsid w:val="454C9CDA"/>
    <w:rsid w:val="460FCB73"/>
    <w:rsid w:val="46B8BB2B"/>
    <w:rsid w:val="47F1E05B"/>
    <w:rsid w:val="498AD449"/>
    <w:rsid w:val="49DA8EF5"/>
    <w:rsid w:val="4AC2BF26"/>
    <w:rsid w:val="4C71FA29"/>
    <w:rsid w:val="4D4542A4"/>
    <w:rsid w:val="4F0D222E"/>
    <w:rsid w:val="4FE06175"/>
    <w:rsid w:val="53F18A99"/>
    <w:rsid w:val="5A5EB84D"/>
    <w:rsid w:val="5CEAE5C2"/>
    <w:rsid w:val="635FA0F5"/>
    <w:rsid w:val="66B10675"/>
    <w:rsid w:val="691BD533"/>
    <w:rsid w:val="6F1084AB"/>
    <w:rsid w:val="729F580E"/>
    <w:rsid w:val="78BE294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929DF74A-B0F2-4F94-9364-7127A1B4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17"/>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18"/>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qFormat/>
    <w:rsid w:val="00F161C0"/>
    <w:pPr>
      <w:numPr>
        <w:numId w:val="22"/>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006DF44-08F4-46A5-A4F5-EB89611E5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3.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4.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1907</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cp:lastModifiedBy>
  <cp:revision>4</cp:revision>
  <dcterms:created xsi:type="dcterms:W3CDTF">2021-04-02T02:54:00Z</dcterms:created>
  <dcterms:modified xsi:type="dcterms:W3CDTF">2021-04-02T03:00:00Z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